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宋体" w:hAnsi="宋体" w:eastAsia="宋体" w:cs="宋体"/>
          <w:b/>
          <w:bCs/>
          <w:sz w:val="44"/>
          <w:szCs w:val="44"/>
          <w:lang w:val="en-US" w:eastAsia="zh-CN"/>
        </w:rPr>
      </w:pPr>
      <w:bookmarkStart w:id="0" w:name="_Toc344"/>
      <w:r>
        <w:rPr>
          <w:rFonts w:ascii="宋体" w:hAnsi="宋体" w:eastAsia="宋体" w:cs="宋体"/>
          <w:b/>
          <w:bCs/>
          <w:sz w:val="44"/>
          <w:szCs w:val="44"/>
        </w:rPr>
        <w:t>大同市新荣区人民检察院</w:t>
      </w:r>
      <w:r>
        <w:rPr>
          <w:rFonts w:hint="eastAsia" w:ascii="宋体" w:hAnsi="宋体" w:eastAsia="宋体" w:cs="宋体"/>
          <w:b/>
          <w:bCs/>
          <w:sz w:val="44"/>
          <w:szCs w:val="44"/>
          <w:lang w:val="en-US" w:eastAsia="zh-CN"/>
        </w:rPr>
        <w:t>机关</w:t>
      </w:r>
      <w:bookmarkEnd w:id="0"/>
    </w:p>
    <w:p>
      <w:pPr>
        <w:jc w:val="center"/>
        <w:rPr>
          <w:rFonts w:ascii="宋体" w:hAnsi="宋体" w:eastAsia="宋体" w:cs="宋体"/>
          <w:b/>
          <w:bCs/>
          <w:sz w:val="44"/>
          <w:szCs w:val="44"/>
        </w:rPr>
      </w:pPr>
      <w:r>
        <w:rPr>
          <w:rFonts w:ascii="宋体" w:hAnsi="宋体" w:eastAsia="宋体" w:cs="宋体"/>
          <w:b/>
          <w:bCs/>
          <w:sz w:val="44"/>
          <w:szCs w:val="44"/>
        </w:rPr>
        <w:t>2021年度预算</w:t>
      </w:r>
    </w:p>
    <w:sdt>
      <w:sdtPr>
        <w:rPr>
          <w:rFonts w:ascii="宋体" w:hAnsi="宋体" w:eastAsia="宋体" w:cstheme="minorBidi"/>
          <w:b/>
          <w:bCs/>
          <w:kern w:val="2"/>
          <w:sz w:val="28"/>
          <w:szCs w:val="28"/>
          <w:lang w:val="en-US" w:eastAsia="zh-CN" w:bidi="ar-SA"/>
        </w:rPr>
        <w:id w:val="147481858"/>
        <w15:color w:val="DBDBDB"/>
        <w:docPartObj>
          <w:docPartGallery w:val="Table of Contents"/>
          <w:docPartUnique/>
        </w:docPartObj>
      </w:sdtPr>
      <w:sdtEndPr>
        <w:rPr>
          <w:rFonts w:ascii="宋体" w:hAnsi="宋体" w:eastAsia="宋体" w:cs="宋体"/>
          <w:b/>
          <w:bCs/>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b/>
              <w:bCs/>
              <w:sz w:val="28"/>
              <w:szCs w:val="28"/>
            </w:rPr>
          </w:pPr>
          <w:r>
            <w:rPr>
              <w:rFonts w:ascii="宋体" w:hAnsi="宋体" w:eastAsia="宋体"/>
              <w:b/>
              <w:bCs/>
              <w:sz w:val="28"/>
              <w:szCs w:val="28"/>
            </w:rPr>
            <w:t>目录</w:t>
          </w:r>
        </w:p>
        <w:p>
          <w:pPr>
            <w:pStyle w:val="4"/>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 w:val="24"/>
              <w:szCs w:val="24"/>
            </w:rPr>
            <w:fldChar w:fldCharType="begin"/>
          </w:r>
          <w:r>
            <w:rPr>
              <w:rFonts w:ascii="宋体" w:hAnsi="宋体" w:eastAsia="宋体" w:cs="宋体"/>
              <w:sz w:val="24"/>
              <w:szCs w:val="24"/>
            </w:rPr>
            <w:instrText xml:space="preserve">TOC \o "1-2" \h \u </w:instrText>
          </w:r>
          <w:r>
            <w:rPr>
              <w:rFonts w:ascii="宋体" w:hAnsi="宋体" w:eastAsia="宋体" w:cs="宋体"/>
              <w:sz w:val="24"/>
              <w:szCs w:val="24"/>
            </w:rPr>
            <w:fldChar w:fldCharType="separate"/>
          </w:r>
          <w:r>
            <w:rPr>
              <w:rFonts w:ascii="宋体" w:hAnsi="宋体" w:eastAsia="宋体" w:cs="宋体"/>
              <w:szCs w:val="24"/>
            </w:rPr>
            <w:fldChar w:fldCharType="begin"/>
          </w:r>
          <w:r>
            <w:rPr>
              <w:rFonts w:ascii="宋体" w:hAnsi="宋体" w:eastAsia="宋体" w:cs="宋体"/>
              <w:szCs w:val="24"/>
            </w:rPr>
            <w:instrText xml:space="preserve"> HYPERLINK \l _Toc344 </w:instrText>
          </w:r>
          <w:r>
            <w:rPr>
              <w:rFonts w:ascii="宋体" w:hAnsi="宋体" w:eastAsia="宋体" w:cs="宋体"/>
              <w:szCs w:val="24"/>
            </w:rPr>
            <w:fldChar w:fldCharType="separate"/>
          </w:r>
          <w:r>
            <w:rPr>
              <w:rFonts w:ascii="宋体" w:hAnsi="宋体" w:eastAsia="宋体" w:cs="宋体"/>
              <w:bCs/>
              <w:szCs w:val="44"/>
            </w:rPr>
            <w:t>大同市新荣区人民检察院</w:t>
          </w:r>
          <w:r>
            <w:rPr>
              <w:rFonts w:hint="eastAsia" w:ascii="宋体" w:hAnsi="宋体" w:eastAsia="宋体" w:cs="宋体"/>
              <w:bCs/>
              <w:szCs w:val="44"/>
              <w:lang w:val="en-US" w:eastAsia="zh-CN"/>
            </w:rPr>
            <w:t>机关</w:t>
          </w:r>
          <w:r>
            <w:tab/>
          </w:r>
          <w:r>
            <w:fldChar w:fldCharType="begin"/>
          </w:r>
          <w:r>
            <w:instrText xml:space="preserve"> PAGEREF _Toc344 \h </w:instrText>
          </w:r>
          <w:r>
            <w:fldChar w:fldCharType="separate"/>
          </w:r>
          <w:r>
            <w:t>1</w:t>
          </w:r>
          <w:r>
            <w:fldChar w:fldCharType="end"/>
          </w:r>
          <w:r>
            <w:rPr>
              <w:rFonts w:ascii="宋体" w:hAnsi="宋体" w:eastAsia="宋体" w:cs="宋体"/>
              <w:szCs w:val="24"/>
            </w:rPr>
            <w:fldChar w:fldCharType="end"/>
          </w:r>
        </w:p>
        <w:p>
          <w:pPr>
            <w:pStyle w:val="4"/>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_Toc2972 </w:instrText>
          </w:r>
          <w:r>
            <w:rPr>
              <w:rFonts w:ascii="宋体" w:hAnsi="宋体" w:eastAsia="宋体" w:cs="宋体"/>
              <w:szCs w:val="24"/>
            </w:rPr>
            <w:fldChar w:fldCharType="separate"/>
          </w:r>
          <w:r>
            <w:rPr>
              <w:rFonts w:hint="eastAsia" w:ascii="宋体" w:hAnsi="宋体" w:eastAsia="宋体" w:cs="宋体"/>
              <w:bCs/>
              <w:i w:val="0"/>
              <w:iCs w:val="0"/>
              <w:szCs w:val="32"/>
            </w:rPr>
            <w:t xml:space="preserve">第一部分 </w:t>
          </w:r>
          <w:r>
            <w:rPr>
              <w:rFonts w:ascii="宋体" w:hAnsi="宋体" w:eastAsia="宋体" w:cs="宋体"/>
              <w:bCs/>
              <w:i w:val="0"/>
              <w:iCs w:val="0"/>
              <w:szCs w:val="32"/>
            </w:rPr>
            <w:t>概况</w:t>
          </w:r>
          <w:r>
            <w:tab/>
          </w:r>
          <w:r>
            <w:fldChar w:fldCharType="begin"/>
          </w:r>
          <w:r>
            <w:instrText xml:space="preserve"> PAGEREF _Toc2972 \h </w:instrText>
          </w:r>
          <w:r>
            <w:fldChar w:fldCharType="separate"/>
          </w:r>
          <w:r>
            <w:t>2</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_Toc9066 </w:instrText>
          </w:r>
          <w:r>
            <w:rPr>
              <w:rFonts w:ascii="宋体" w:hAnsi="宋体" w:eastAsia="宋体" w:cs="宋体"/>
              <w:szCs w:val="24"/>
            </w:rPr>
            <w:fldChar w:fldCharType="separate"/>
          </w:r>
          <w:r>
            <w:rPr>
              <w:rFonts w:hint="eastAsia" w:ascii="宋体" w:hAnsi="宋体" w:eastAsia="宋体" w:cs="宋体"/>
              <w:szCs w:val="24"/>
            </w:rPr>
            <w:t xml:space="preserve">一、 </w:t>
          </w:r>
          <w:r>
            <w:rPr>
              <w:rFonts w:ascii="宋体" w:hAnsi="宋体" w:eastAsia="宋体" w:cs="宋体"/>
              <w:szCs w:val="24"/>
            </w:rPr>
            <w:t>新荣区检察院职责</w:t>
          </w:r>
          <w:r>
            <w:tab/>
          </w:r>
          <w:r>
            <w:fldChar w:fldCharType="begin"/>
          </w:r>
          <w:r>
            <w:instrText xml:space="preserve"> PAGEREF _Toc9066 \h </w:instrText>
          </w:r>
          <w:r>
            <w:fldChar w:fldCharType="separate"/>
          </w:r>
          <w:r>
            <w:t>2</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_Toc18918 </w:instrText>
          </w:r>
          <w:r>
            <w:rPr>
              <w:rFonts w:ascii="宋体" w:hAnsi="宋体" w:eastAsia="宋体" w:cs="宋体"/>
              <w:szCs w:val="24"/>
            </w:rPr>
            <w:fldChar w:fldCharType="separate"/>
          </w:r>
          <w:r>
            <w:rPr>
              <w:rFonts w:hint="eastAsia" w:ascii="宋体" w:hAnsi="宋体" w:eastAsia="宋体" w:cs="宋体"/>
              <w:szCs w:val="24"/>
            </w:rPr>
            <w:t xml:space="preserve">二、 </w:t>
          </w:r>
          <w:r>
            <w:rPr>
              <w:rFonts w:ascii="宋体" w:hAnsi="宋体" w:eastAsia="宋体" w:cs="宋体"/>
              <w:szCs w:val="24"/>
            </w:rPr>
            <w:t>机构设置情况</w:t>
          </w:r>
          <w:r>
            <w:tab/>
          </w:r>
          <w:r>
            <w:fldChar w:fldCharType="begin"/>
          </w:r>
          <w:r>
            <w:instrText xml:space="preserve"> PAGEREF _Toc18918 \h </w:instrText>
          </w:r>
          <w:r>
            <w:fldChar w:fldCharType="separate"/>
          </w:r>
          <w:r>
            <w:t>2</w:t>
          </w:r>
          <w:r>
            <w:fldChar w:fldCharType="end"/>
          </w:r>
          <w:r>
            <w:rPr>
              <w:rFonts w:ascii="宋体" w:hAnsi="宋体" w:eastAsia="宋体" w:cs="宋体"/>
              <w:szCs w:val="24"/>
            </w:rPr>
            <w:fldChar w:fldCharType="end"/>
          </w:r>
        </w:p>
        <w:p>
          <w:pPr>
            <w:pStyle w:val="4"/>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_Toc6063 </w:instrText>
          </w:r>
          <w:r>
            <w:rPr>
              <w:rFonts w:ascii="宋体" w:hAnsi="宋体" w:eastAsia="宋体" w:cs="宋体"/>
              <w:szCs w:val="24"/>
            </w:rPr>
            <w:fldChar w:fldCharType="separate"/>
          </w:r>
          <w:r>
            <w:rPr>
              <w:rFonts w:hint="eastAsia" w:ascii="宋体" w:hAnsi="宋体" w:eastAsia="宋体" w:cs="宋体"/>
              <w:bCs/>
              <w:i w:val="0"/>
              <w:iCs w:val="0"/>
              <w:szCs w:val="32"/>
            </w:rPr>
            <w:t xml:space="preserve">第二部分 </w:t>
          </w:r>
          <w:r>
            <w:rPr>
              <w:rFonts w:ascii="宋体" w:hAnsi="宋体" w:eastAsia="宋体" w:cs="宋体"/>
              <w:bCs/>
              <w:i w:val="0"/>
              <w:iCs w:val="0"/>
              <w:szCs w:val="32"/>
            </w:rPr>
            <w:t>2021 年度单位预算报表</w:t>
          </w:r>
          <w:r>
            <w:tab/>
          </w:r>
          <w:r>
            <w:fldChar w:fldCharType="begin"/>
          </w:r>
          <w:r>
            <w:instrText xml:space="preserve"> PAGEREF _Toc6063 \h </w:instrText>
          </w:r>
          <w:r>
            <w:fldChar w:fldCharType="separate"/>
          </w:r>
          <w:r>
            <w:t>2</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_Toc2505 </w:instrText>
          </w:r>
          <w:r>
            <w:rPr>
              <w:rFonts w:ascii="宋体" w:hAnsi="宋体" w:eastAsia="宋体" w:cs="宋体"/>
              <w:szCs w:val="24"/>
            </w:rPr>
            <w:fldChar w:fldCharType="separate"/>
          </w:r>
          <w:r>
            <w:rPr>
              <w:rFonts w:hint="eastAsia" w:ascii="宋体" w:hAnsi="宋体" w:eastAsia="宋体" w:cs="宋体"/>
              <w:szCs w:val="24"/>
            </w:rPr>
            <w:t xml:space="preserve">一、 </w:t>
          </w:r>
          <w:r>
            <w:rPr>
              <w:rFonts w:ascii="宋体" w:hAnsi="宋体" w:eastAsia="宋体" w:cs="宋体"/>
              <w:szCs w:val="24"/>
            </w:rPr>
            <w:t>新荣区检察院 2021 年预算收支总表</w:t>
          </w:r>
          <w:r>
            <w:tab/>
          </w:r>
          <w:r>
            <w:fldChar w:fldCharType="begin"/>
          </w:r>
          <w:r>
            <w:instrText xml:space="preserve"> PAGEREF _Toc2505 \h </w:instrText>
          </w:r>
          <w:r>
            <w:fldChar w:fldCharType="separate"/>
          </w:r>
          <w:r>
            <w:t>2</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_Toc906 </w:instrText>
          </w:r>
          <w:r>
            <w:rPr>
              <w:rFonts w:ascii="宋体" w:hAnsi="宋体" w:eastAsia="宋体" w:cs="宋体"/>
              <w:szCs w:val="24"/>
            </w:rPr>
            <w:fldChar w:fldCharType="separate"/>
          </w:r>
          <w:r>
            <w:rPr>
              <w:rFonts w:hint="eastAsia" w:ascii="宋体" w:hAnsi="宋体" w:eastAsia="宋体" w:cs="宋体"/>
              <w:szCs w:val="24"/>
            </w:rPr>
            <w:t xml:space="preserve">二、 </w:t>
          </w:r>
          <w:r>
            <w:rPr>
              <w:rFonts w:ascii="宋体" w:hAnsi="宋体" w:eastAsia="宋体" w:cs="宋体"/>
              <w:szCs w:val="24"/>
            </w:rPr>
            <w:t>新荣区检察院 2021 年预算收入总表</w:t>
          </w:r>
          <w:r>
            <w:tab/>
          </w:r>
          <w:r>
            <w:fldChar w:fldCharType="begin"/>
          </w:r>
          <w:r>
            <w:instrText xml:space="preserve"> PAGEREF _Toc906 \h </w:instrText>
          </w:r>
          <w:r>
            <w:fldChar w:fldCharType="separate"/>
          </w:r>
          <w:r>
            <w:t>3</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_Toc16077 </w:instrText>
          </w:r>
          <w:r>
            <w:rPr>
              <w:rFonts w:ascii="宋体" w:hAnsi="宋体" w:eastAsia="宋体" w:cs="宋体"/>
              <w:szCs w:val="24"/>
            </w:rPr>
            <w:fldChar w:fldCharType="separate"/>
          </w:r>
          <w:r>
            <w:rPr>
              <w:rFonts w:hint="eastAsia" w:ascii="宋体" w:hAnsi="宋体" w:eastAsia="宋体" w:cs="宋体"/>
              <w:szCs w:val="24"/>
            </w:rPr>
            <w:t xml:space="preserve">三、 </w:t>
          </w:r>
          <w:r>
            <w:rPr>
              <w:rFonts w:ascii="宋体" w:hAnsi="宋体" w:eastAsia="宋体" w:cs="宋体"/>
              <w:szCs w:val="24"/>
            </w:rPr>
            <w:t>新荣区检察院 2021 年预算支出总表</w:t>
          </w:r>
          <w:r>
            <w:tab/>
          </w:r>
          <w:r>
            <w:fldChar w:fldCharType="begin"/>
          </w:r>
          <w:r>
            <w:instrText xml:space="preserve"> PAGEREF _Toc16077 \h </w:instrText>
          </w:r>
          <w:r>
            <w:fldChar w:fldCharType="separate"/>
          </w:r>
          <w:r>
            <w:t>5</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_Toc2405 </w:instrText>
          </w:r>
          <w:r>
            <w:rPr>
              <w:rFonts w:ascii="宋体" w:hAnsi="宋体" w:eastAsia="宋体" w:cs="宋体"/>
              <w:szCs w:val="24"/>
            </w:rPr>
            <w:fldChar w:fldCharType="separate"/>
          </w:r>
          <w:r>
            <w:rPr>
              <w:rFonts w:hint="eastAsia" w:ascii="宋体" w:hAnsi="宋体" w:eastAsia="宋体" w:cs="宋体"/>
              <w:szCs w:val="24"/>
            </w:rPr>
            <w:t xml:space="preserve">四、 </w:t>
          </w:r>
          <w:r>
            <w:rPr>
              <w:rFonts w:ascii="宋体" w:hAnsi="宋体" w:eastAsia="宋体" w:cs="宋体"/>
              <w:szCs w:val="24"/>
            </w:rPr>
            <w:t>新荣区检察院 2021 年财政拨款收支总表</w:t>
          </w:r>
          <w:r>
            <w:tab/>
          </w:r>
          <w:r>
            <w:fldChar w:fldCharType="begin"/>
          </w:r>
          <w:r>
            <w:instrText xml:space="preserve"> PAGEREF _Toc2405 \h </w:instrText>
          </w:r>
          <w:r>
            <w:fldChar w:fldCharType="separate"/>
          </w:r>
          <w:r>
            <w:t>6</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_Toc4775 </w:instrText>
          </w:r>
          <w:r>
            <w:rPr>
              <w:rFonts w:ascii="宋体" w:hAnsi="宋体" w:eastAsia="宋体" w:cs="宋体"/>
              <w:szCs w:val="24"/>
            </w:rPr>
            <w:fldChar w:fldCharType="separate"/>
          </w:r>
          <w:r>
            <w:rPr>
              <w:rFonts w:hint="eastAsia" w:ascii="宋体" w:hAnsi="宋体" w:eastAsia="宋体" w:cs="宋体"/>
              <w:szCs w:val="24"/>
            </w:rPr>
            <w:t xml:space="preserve">五、 </w:t>
          </w:r>
          <w:r>
            <w:rPr>
              <w:rFonts w:ascii="宋体" w:hAnsi="宋体" w:eastAsia="宋体" w:cs="宋体"/>
              <w:szCs w:val="24"/>
            </w:rPr>
            <w:t>新荣区检察院 2021 年一般公共预算支出预算表</w:t>
          </w:r>
          <w:r>
            <w:tab/>
          </w:r>
          <w:r>
            <w:fldChar w:fldCharType="begin"/>
          </w:r>
          <w:r>
            <w:instrText xml:space="preserve"> PAGEREF _Toc4775 \h </w:instrText>
          </w:r>
          <w:r>
            <w:fldChar w:fldCharType="separate"/>
          </w:r>
          <w:r>
            <w:t>7</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_Toc24881 </w:instrText>
          </w:r>
          <w:r>
            <w:rPr>
              <w:rFonts w:ascii="宋体" w:hAnsi="宋体" w:eastAsia="宋体" w:cs="宋体"/>
              <w:szCs w:val="24"/>
            </w:rPr>
            <w:fldChar w:fldCharType="separate"/>
          </w:r>
          <w:r>
            <w:rPr>
              <w:rFonts w:hint="eastAsia" w:ascii="宋体" w:hAnsi="宋体" w:eastAsia="宋体" w:cs="宋体"/>
              <w:szCs w:val="24"/>
            </w:rPr>
            <w:t xml:space="preserve">六、 </w:t>
          </w:r>
          <w:r>
            <w:rPr>
              <w:rFonts w:ascii="宋体" w:hAnsi="宋体" w:eastAsia="宋体" w:cs="宋体"/>
              <w:szCs w:val="24"/>
            </w:rPr>
            <w:t>新荣区检察院 2021 年一般公共预算安排基本支出 分经济科目表</w:t>
          </w:r>
          <w:r>
            <w:tab/>
          </w:r>
          <w:r>
            <w:fldChar w:fldCharType="begin"/>
          </w:r>
          <w:r>
            <w:instrText xml:space="preserve"> PAGEREF _Toc24881 \h </w:instrText>
          </w:r>
          <w:r>
            <w:fldChar w:fldCharType="separate"/>
          </w:r>
          <w:r>
            <w:t>8</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_Toc1619 </w:instrText>
          </w:r>
          <w:r>
            <w:rPr>
              <w:rFonts w:ascii="宋体" w:hAnsi="宋体" w:eastAsia="宋体" w:cs="宋体"/>
              <w:szCs w:val="24"/>
            </w:rPr>
            <w:fldChar w:fldCharType="separate"/>
          </w:r>
          <w:r>
            <w:rPr>
              <w:rFonts w:hint="eastAsia" w:ascii="宋体" w:hAnsi="宋体" w:eastAsia="宋体" w:cs="宋体"/>
              <w:szCs w:val="24"/>
            </w:rPr>
            <w:t xml:space="preserve">七、 </w:t>
          </w:r>
          <w:r>
            <w:rPr>
              <w:rFonts w:ascii="宋体" w:hAnsi="宋体" w:eastAsia="宋体" w:cs="宋体"/>
              <w:szCs w:val="24"/>
            </w:rPr>
            <w:t>新荣区检察院 2021 年政府性基金预算收入预算表</w:t>
          </w:r>
          <w:r>
            <w:tab/>
          </w:r>
          <w:r>
            <w:fldChar w:fldCharType="begin"/>
          </w:r>
          <w:r>
            <w:instrText xml:space="preserve"> PAGEREF _Toc1619 \h </w:instrText>
          </w:r>
          <w:r>
            <w:fldChar w:fldCharType="separate"/>
          </w:r>
          <w:r>
            <w:t>9</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_Toc13726 </w:instrText>
          </w:r>
          <w:r>
            <w:rPr>
              <w:rFonts w:ascii="宋体" w:hAnsi="宋体" w:eastAsia="宋体" w:cs="宋体"/>
              <w:szCs w:val="24"/>
            </w:rPr>
            <w:fldChar w:fldCharType="separate"/>
          </w:r>
          <w:r>
            <w:rPr>
              <w:rFonts w:hint="eastAsia" w:ascii="宋体" w:hAnsi="宋体" w:eastAsia="宋体" w:cs="宋体"/>
              <w:szCs w:val="24"/>
            </w:rPr>
            <w:t xml:space="preserve">八、 </w:t>
          </w:r>
          <w:r>
            <w:rPr>
              <w:rFonts w:ascii="宋体" w:hAnsi="宋体" w:eastAsia="宋体" w:cs="宋体"/>
              <w:szCs w:val="24"/>
            </w:rPr>
            <w:t>新荣区人民检察院 2021 年政府性基金预算支出预算表</w:t>
          </w:r>
          <w:r>
            <w:tab/>
          </w:r>
          <w:r>
            <w:fldChar w:fldCharType="begin"/>
          </w:r>
          <w:r>
            <w:instrText xml:space="preserve"> PAGEREF _Toc13726 \h </w:instrText>
          </w:r>
          <w:r>
            <w:fldChar w:fldCharType="separate"/>
          </w:r>
          <w:r>
            <w:t>9</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_Toc6359 </w:instrText>
          </w:r>
          <w:r>
            <w:rPr>
              <w:rFonts w:ascii="宋体" w:hAnsi="宋体" w:eastAsia="宋体" w:cs="宋体"/>
              <w:szCs w:val="24"/>
            </w:rPr>
            <w:fldChar w:fldCharType="separate"/>
          </w:r>
          <w:r>
            <w:rPr>
              <w:rFonts w:hint="eastAsia" w:ascii="宋体" w:hAnsi="宋体" w:eastAsia="宋体" w:cs="宋体"/>
              <w:szCs w:val="24"/>
            </w:rPr>
            <w:t xml:space="preserve">九、 </w:t>
          </w:r>
          <w:r>
            <w:rPr>
              <w:rFonts w:ascii="宋体" w:hAnsi="宋体" w:eastAsia="宋体" w:cs="宋体"/>
              <w:szCs w:val="24"/>
            </w:rPr>
            <w:t>新荣区人民检察院 2021 年“三公”经费预算财政 拨款情况统计表</w:t>
          </w:r>
          <w:r>
            <w:tab/>
          </w:r>
          <w:r>
            <w:fldChar w:fldCharType="begin"/>
          </w:r>
          <w:r>
            <w:instrText xml:space="preserve"> PAGEREF _Toc6359 \h </w:instrText>
          </w:r>
          <w:r>
            <w:fldChar w:fldCharType="separate"/>
          </w:r>
          <w:r>
            <w:t>9</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_Toc29770 </w:instrText>
          </w:r>
          <w:r>
            <w:rPr>
              <w:rFonts w:ascii="宋体" w:hAnsi="宋体" w:eastAsia="宋体" w:cs="宋体"/>
              <w:szCs w:val="24"/>
            </w:rPr>
            <w:fldChar w:fldCharType="separate"/>
          </w:r>
          <w:r>
            <w:rPr>
              <w:rFonts w:hint="eastAsia" w:ascii="宋体" w:hAnsi="宋体" w:eastAsia="宋体" w:cs="宋体"/>
              <w:szCs w:val="24"/>
            </w:rPr>
            <w:t xml:space="preserve">十、 </w:t>
          </w:r>
          <w:r>
            <w:rPr>
              <w:rFonts w:ascii="宋体" w:hAnsi="宋体" w:eastAsia="宋体" w:cs="宋体"/>
              <w:szCs w:val="24"/>
            </w:rPr>
            <w:t>新荣区人民检察院 2021 年机关运行经费预算财政 拨款情况统计表</w:t>
          </w:r>
          <w:r>
            <w:tab/>
          </w:r>
          <w:r>
            <w:fldChar w:fldCharType="begin"/>
          </w:r>
          <w:r>
            <w:instrText xml:space="preserve"> PAGEREF _Toc29770 \h </w:instrText>
          </w:r>
          <w:r>
            <w:fldChar w:fldCharType="separate"/>
          </w:r>
          <w:r>
            <w:t>10</w:t>
          </w:r>
          <w:r>
            <w:fldChar w:fldCharType="end"/>
          </w:r>
          <w:r>
            <w:rPr>
              <w:rFonts w:ascii="宋体" w:hAnsi="宋体" w:eastAsia="宋体" w:cs="宋体"/>
              <w:szCs w:val="24"/>
            </w:rPr>
            <w:fldChar w:fldCharType="end"/>
          </w:r>
        </w:p>
        <w:p>
          <w:pPr>
            <w:pStyle w:val="4"/>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_Toc2375 </w:instrText>
          </w:r>
          <w:r>
            <w:rPr>
              <w:rFonts w:ascii="宋体" w:hAnsi="宋体" w:eastAsia="宋体" w:cs="宋体"/>
              <w:szCs w:val="24"/>
            </w:rPr>
            <w:fldChar w:fldCharType="separate"/>
          </w:r>
          <w:r>
            <w:rPr>
              <w:rFonts w:hint="eastAsia" w:ascii="宋体" w:hAnsi="宋体" w:eastAsia="宋体" w:cs="宋体"/>
              <w:bCs/>
              <w:i w:val="0"/>
              <w:iCs w:val="0"/>
              <w:szCs w:val="32"/>
            </w:rPr>
            <w:t xml:space="preserve">第三部分 </w:t>
          </w:r>
          <w:r>
            <w:rPr>
              <w:rFonts w:ascii="宋体" w:hAnsi="宋体" w:eastAsia="宋体" w:cs="宋体"/>
              <w:bCs/>
              <w:i w:val="0"/>
              <w:iCs w:val="0"/>
              <w:szCs w:val="32"/>
            </w:rPr>
            <w:t>2021 年度单位预算情况说明</w:t>
          </w:r>
          <w:r>
            <w:tab/>
          </w:r>
          <w:r>
            <w:fldChar w:fldCharType="begin"/>
          </w:r>
          <w:r>
            <w:instrText xml:space="preserve"> PAGEREF _Toc2375 \h </w:instrText>
          </w:r>
          <w:r>
            <w:fldChar w:fldCharType="separate"/>
          </w:r>
          <w:r>
            <w:t>10</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_Toc28733 </w:instrText>
          </w:r>
          <w:r>
            <w:rPr>
              <w:rFonts w:ascii="宋体" w:hAnsi="宋体" w:eastAsia="宋体" w:cs="宋体"/>
              <w:szCs w:val="24"/>
            </w:rPr>
            <w:fldChar w:fldCharType="separate"/>
          </w:r>
          <w:r>
            <w:rPr>
              <w:rFonts w:ascii="宋体" w:hAnsi="宋体" w:eastAsia="宋体" w:cs="宋体"/>
              <w:szCs w:val="24"/>
            </w:rPr>
            <w:t>一、2021 年度单位预算数据变动情况及原因</w:t>
          </w:r>
          <w:r>
            <w:tab/>
          </w:r>
          <w:r>
            <w:fldChar w:fldCharType="begin"/>
          </w:r>
          <w:r>
            <w:instrText xml:space="preserve"> PAGEREF _Toc28733 \h </w:instrText>
          </w:r>
          <w:r>
            <w:fldChar w:fldCharType="separate"/>
          </w:r>
          <w:r>
            <w:t>10</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_Toc13764 </w:instrText>
          </w:r>
          <w:r>
            <w:rPr>
              <w:rFonts w:ascii="宋体" w:hAnsi="宋体" w:eastAsia="宋体" w:cs="宋体"/>
              <w:szCs w:val="24"/>
            </w:rPr>
            <w:fldChar w:fldCharType="separate"/>
          </w:r>
          <w:r>
            <w:rPr>
              <w:rFonts w:hint="eastAsia" w:ascii="宋体" w:hAnsi="宋体" w:eastAsia="宋体" w:cs="宋体"/>
              <w:szCs w:val="24"/>
              <w:lang w:val="en-US" w:eastAsia="zh-CN"/>
            </w:rPr>
            <w:t>二、</w:t>
          </w:r>
          <w:r>
            <w:rPr>
              <w:rFonts w:ascii="宋体" w:hAnsi="宋体" w:eastAsia="宋体" w:cs="宋体"/>
              <w:szCs w:val="24"/>
            </w:rPr>
            <w:t>“三公”经费增减变动原因说明</w:t>
          </w:r>
          <w:r>
            <w:tab/>
          </w:r>
          <w:r>
            <w:fldChar w:fldCharType="begin"/>
          </w:r>
          <w:r>
            <w:instrText xml:space="preserve"> PAGEREF _Toc13764 \h </w:instrText>
          </w:r>
          <w:r>
            <w:fldChar w:fldCharType="separate"/>
          </w:r>
          <w:r>
            <w:t>10</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_Toc29032 </w:instrText>
          </w:r>
          <w:r>
            <w:rPr>
              <w:rFonts w:ascii="宋体" w:hAnsi="宋体" w:eastAsia="宋体" w:cs="宋体"/>
              <w:szCs w:val="24"/>
            </w:rPr>
            <w:fldChar w:fldCharType="separate"/>
          </w:r>
          <w:r>
            <w:rPr>
              <w:rFonts w:hint="eastAsia" w:ascii="宋体" w:hAnsi="宋体" w:eastAsia="宋体" w:cs="宋体"/>
              <w:szCs w:val="24"/>
            </w:rPr>
            <w:t xml:space="preserve">三、 </w:t>
          </w:r>
          <w:r>
            <w:rPr>
              <w:rFonts w:ascii="宋体" w:hAnsi="宋体" w:eastAsia="宋体" w:cs="宋体"/>
              <w:szCs w:val="24"/>
            </w:rPr>
            <w:t>机关运行经费增减变动原因说明</w:t>
          </w:r>
          <w:r>
            <w:tab/>
          </w:r>
          <w:r>
            <w:fldChar w:fldCharType="begin"/>
          </w:r>
          <w:r>
            <w:instrText xml:space="preserve"> PAGEREF _Toc29032 \h </w:instrText>
          </w:r>
          <w:r>
            <w:fldChar w:fldCharType="separate"/>
          </w:r>
          <w:r>
            <w:t>11</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_Toc26500 </w:instrText>
          </w:r>
          <w:r>
            <w:rPr>
              <w:rFonts w:ascii="宋体" w:hAnsi="宋体" w:eastAsia="宋体" w:cs="宋体"/>
              <w:szCs w:val="24"/>
            </w:rPr>
            <w:fldChar w:fldCharType="separate"/>
          </w:r>
          <w:r>
            <w:rPr>
              <w:rFonts w:hint="eastAsia" w:ascii="宋体" w:hAnsi="宋体" w:eastAsia="宋体" w:cs="宋体"/>
              <w:szCs w:val="24"/>
            </w:rPr>
            <w:t xml:space="preserve">四、 </w:t>
          </w:r>
          <w:r>
            <w:rPr>
              <w:rFonts w:ascii="宋体" w:hAnsi="宋体" w:eastAsia="宋体" w:cs="宋体"/>
              <w:szCs w:val="24"/>
            </w:rPr>
            <w:t>政府采购情况</w:t>
          </w:r>
          <w:r>
            <w:tab/>
          </w:r>
          <w:r>
            <w:fldChar w:fldCharType="begin"/>
          </w:r>
          <w:r>
            <w:instrText xml:space="preserve"> PAGEREF _Toc26500 \h </w:instrText>
          </w:r>
          <w:r>
            <w:fldChar w:fldCharType="separate"/>
          </w:r>
          <w:r>
            <w:t>11</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_Toc24837 </w:instrText>
          </w:r>
          <w:r>
            <w:rPr>
              <w:rFonts w:ascii="宋体" w:hAnsi="宋体" w:eastAsia="宋体" w:cs="宋体"/>
              <w:szCs w:val="24"/>
            </w:rPr>
            <w:fldChar w:fldCharType="separate"/>
          </w:r>
          <w:r>
            <w:rPr>
              <w:rFonts w:hint="eastAsia" w:ascii="宋体" w:hAnsi="宋体" w:eastAsia="宋体" w:cs="宋体"/>
              <w:szCs w:val="24"/>
            </w:rPr>
            <w:t xml:space="preserve">五、 </w:t>
          </w:r>
          <w:r>
            <w:rPr>
              <w:rFonts w:ascii="宋体" w:hAnsi="宋体" w:eastAsia="宋体" w:cs="宋体"/>
              <w:szCs w:val="24"/>
            </w:rPr>
            <w:t>绩效管理情况</w:t>
          </w:r>
          <w:r>
            <w:tab/>
          </w:r>
          <w:r>
            <w:fldChar w:fldCharType="begin"/>
          </w:r>
          <w:r>
            <w:instrText xml:space="preserve"> PAGEREF _Toc24837 \h </w:instrText>
          </w:r>
          <w:r>
            <w:fldChar w:fldCharType="separate"/>
          </w:r>
          <w:r>
            <w:t>11</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_Toc7219 </w:instrText>
          </w:r>
          <w:r>
            <w:rPr>
              <w:rFonts w:ascii="宋体" w:hAnsi="宋体" w:eastAsia="宋体" w:cs="宋体"/>
              <w:szCs w:val="24"/>
            </w:rPr>
            <w:fldChar w:fldCharType="separate"/>
          </w:r>
          <w:r>
            <w:rPr>
              <w:rFonts w:hint="eastAsia" w:ascii="宋体" w:hAnsi="宋体" w:eastAsia="宋体" w:cs="宋体"/>
              <w:szCs w:val="24"/>
            </w:rPr>
            <w:t xml:space="preserve">六、 </w:t>
          </w:r>
          <w:r>
            <w:rPr>
              <w:rFonts w:ascii="宋体" w:hAnsi="宋体" w:eastAsia="宋体" w:cs="宋体"/>
              <w:szCs w:val="24"/>
            </w:rPr>
            <w:t>国有资产占有使用情况</w:t>
          </w:r>
          <w:r>
            <w:tab/>
          </w:r>
          <w:r>
            <w:fldChar w:fldCharType="begin"/>
          </w:r>
          <w:r>
            <w:instrText xml:space="preserve"> PAGEREF _Toc7219 \h </w:instrText>
          </w:r>
          <w:r>
            <w:fldChar w:fldCharType="separate"/>
          </w:r>
          <w:r>
            <w:t>11</w:t>
          </w:r>
          <w:r>
            <w:fldChar w:fldCharType="end"/>
          </w:r>
          <w:r>
            <w:rPr>
              <w:rFonts w:ascii="宋体" w:hAnsi="宋体" w:eastAsia="宋体" w:cs="宋体"/>
              <w:szCs w:val="24"/>
            </w:rPr>
            <w:fldChar w:fldCharType="end"/>
          </w:r>
        </w:p>
        <w:p>
          <w:pPr>
            <w:pStyle w:val="5"/>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_Toc520 </w:instrText>
          </w:r>
          <w:r>
            <w:rPr>
              <w:rFonts w:ascii="宋体" w:hAnsi="宋体" w:eastAsia="宋体" w:cs="宋体"/>
              <w:szCs w:val="24"/>
            </w:rPr>
            <w:fldChar w:fldCharType="separate"/>
          </w:r>
          <w:r>
            <w:rPr>
              <w:rFonts w:ascii="宋体" w:hAnsi="宋体" w:eastAsia="宋体" w:cs="宋体"/>
              <w:szCs w:val="24"/>
            </w:rPr>
            <w:t>七、其他说明</w:t>
          </w:r>
          <w:r>
            <w:tab/>
          </w:r>
          <w:r>
            <w:fldChar w:fldCharType="begin"/>
          </w:r>
          <w:r>
            <w:instrText xml:space="preserve"> PAGEREF _Toc520 \h </w:instrText>
          </w:r>
          <w:r>
            <w:fldChar w:fldCharType="separate"/>
          </w:r>
          <w:r>
            <w:t>11</w:t>
          </w:r>
          <w:r>
            <w:fldChar w:fldCharType="end"/>
          </w:r>
          <w:r>
            <w:rPr>
              <w:rFonts w:ascii="宋体" w:hAnsi="宋体" w:eastAsia="宋体" w:cs="宋体"/>
              <w:szCs w:val="24"/>
            </w:rPr>
            <w:fldChar w:fldCharType="end"/>
          </w:r>
        </w:p>
        <w:p>
          <w:pPr>
            <w:pStyle w:val="4"/>
            <w:keepNext w:val="0"/>
            <w:keepLines w:val="0"/>
            <w:pageBreakBefore w:val="0"/>
            <w:widowControl w:val="0"/>
            <w:tabs>
              <w:tab w:val="right" w:leader="hyphen" w:pos="8306"/>
            </w:tabs>
            <w:kinsoku/>
            <w:wordWrap/>
            <w:overflowPunct/>
            <w:topLinePunct w:val="0"/>
            <w:autoSpaceDE/>
            <w:autoSpaceDN/>
            <w:bidi w:val="0"/>
            <w:adjustRightInd/>
            <w:snapToGrid/>
            <w:spacing w:line="360" w:lineRule="auto"/>
            <w:textAlignment w:val="auto"/>
          </w:pPr>
          <w:r>
            <w:rPr>
              <w:rFonts w:ascii="宋体" w:hAnsi="宋体" w:eastAsia="宋体" w:cs="宋体"/>
              <w:szCs w:val="24"/>
            </w:rPr>
            <w:fldChar w:fldCharType="begin"/>
          </w:r>
          <w:r>
            <w:rPr>
              <w:rFonts w:ascii="宋体" w:hAnsi="宋体" w:eastAsia="宋体" w:cs="宋体"/>
              <w:szCs w:val="24"/>
            </w:rPr>
            <w:instrText xml:space="preserve"> HYPERLINK \l _Toc7969 </w:instrText>
          </w:r>
          <w:r>
            <w:rPr>
              <w:rFonts w:ascii="宋体" w:hAnsi="宋体" w:eastAsia="宋体" w:cs="宋体"/>
              <w:szCs w:val="24"/>
            </w:rPr>
            <w:fldChar w:fldCharType="separate"/>
          </w:r>
          <w:r>
            <w:rPr>
              <w:rFonts w:ascii="宋体" w:hAnsi="宋体" w:eastAsia="宋体" w:cs="宋体"/>
              <w:bCs/>
              <w:i w:val="0"/>
              <w:iCs w:val="0"/>
              <w:szCs w:val="32"/>
            </w:rPr>
            <w:t>第四部分 名词解释</w:t>
          </w:r>
          <w:r>
            <w:tab/>
          </w:r>
          <w:r>
            <w:fldChar w:fldCharType="begin"/>
          </w:r>
          <w:r>
            <w:instrText xml:space="preserve"> PAGEREF _Toc7969 \h </w:instrText>
          </w:r>
          <w:r>
            <w:fldChar w:fldCharType="separate"/>
          </w:r>
          <w:r>
            <w:t>11</w:t>
          </w:r>
          <w:r>
            <w:fldChar w:fldCharType="end"/>
          </w:r>
          <w:r>
            <w:rPr>
              <w:rFonts w:ascii="宋体" w:hAnsi="宋体" w:eastAsia="宋体" w:cs="宋体"/>
              <w:szCs w:val="24"/>
            </w:rPr>
            <w:fldChar w:fldCharType="end"/>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r>
            <w:rPr>
              <w:rFonts w:ascii="宋体" w:hAnsi="宋体" w:eastAsia="宋体" w:cs="宋体"/>
              <w:szCs w:val="24"/>
            </w:rPr>
            <w:fldChar w:fldCharType="end"/>
          </w:r>
        </w:p>
      </w:sdtContent>
    </w:sdt>
    <w:p>
      <w:pPr>
        <w:numPr>
          <w:ilvl w:val="0"/>
          <w:numId w:val="1"/>
        </w:numPr>
        <w:ind w:left="120" w:leftChars="0" w:firstLine="0" w:firstLineChars="0"/>
        <w:jc w:val="center"/>
        <w:outlineLvl w:val="0"/>
        <w:rPr>
          <w:rFonts w:ascii="宋体" w:hAnsi="宋体" w:eastAsia="宋体" w:cs="宋体"/>
          <w:b/>
          <w:bCs/>
          <w:i w:val="0"/>
          <w:iCs w:val="0"/>
          <w:sz w:val="32"/>
          <w:szCs w:val="32"/>
        </w:rPr>
      </w:pPr>
      <w:bookmarkStart w:id="1" w:name="_Toc2972"/>
      <w:r>
        <w:rPr>
          <w:rFonts w:ascii="宋体" w:hAnsi="宋体" w:eastAsia="宋体" w:cs="宋体"/>
          <w:b/>
          <w:bCs/>
          <w:i w:val="0"/>
          <w:iCs w:val="0"/>
          <w:sz w:val="32"/>
          <w:szCs w:val="32"/>
        </w:rPr>
        <w:t>概况</w:t>
      </w:r>
      <w:bookmarkEnd w:id="1"/>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outlineLvl w:val="1"/>
        <w:rPr>
          <w:rFonts w:ascii="宋体" w:hAnsi="宋体" w:eastAsia="宋体" w:cs="宋体"/>
          <w:sz w:val="24"/>
          <w:szCs w:val="24"/>
        </w:rPr>
      </w:pPr>
      <w:bookmarkStart w:id="2" w:name="_Toc9066"/>
      <w:r>
        <w:rPr>
          <w:rFonts w:ascii="宋体" w:hAnsi="宋体" w:eastAsia="宋体" w:cs="宋体"/>
          <w:sz w:val="24"/>
          <w:szCs w:val="24"/>
        </w:rPr>
        <w:t>新荣区检察院职责</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依据宪法和法律的规定，依法对有关刑事案件行使侦查权；对刑事案件进行审查，批准或者决定是否逮捕犯罪嫌疑人；对刑事案件进行审查，决定是否提起公诉，对决定提起公诉的案件支持公诉；依照法律规定提起公益诉讼；对诉讼活动实行法律监督；对判决、裁定等生效法律文书的执行工作实行法律监督；对监狱、看守所的执法活动实行法律监督；法律规定的其他职权。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outlineLvl w:val="1"/>
        <w:rPr>
          <w:rFonts w:ascii="宋体" w:hAnsi="宋体" w:eastAsia="宋体" w:cs="宋体"/>
          <w:sz w:val="24"/>
          <w:szCs w:val="24"/>
        </w:rPr>
      </w:pPr>
      <w:bookmarkStart w:id="3" w:name="_Toc18918"/>
      <w:r>
        <w:rPr>
          <w:rFonts w:ascii="宋体" w:hAnsi="宋体" w:eastAsia="宋体" w:cs="宋体"/>
          <w:sz w:val="24"/>
          <w:szCs w:val="24"/>
        </w:rPr>
        <w:t>机构设置情况</w:t>
      </w:r>
      <w:bookmarkEnd w:id="3"/>
      <w:r>
        <w:rPr>
          <w:rFonts w:ascii="宋体" w:hAnsi="宋体" w:eastAsia="宋体" w:cs="宋体"/>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lang w:eastAsia="zh-CN"/>
        </w:rPr>
      </w:pPr>
      <w:r>
        <w:rPr>
          <w:rFonts w:ascii="宋体" w:hAnsi="宋体" w:eastAsia="宋体" w:cs="宋体"/>
          <w:sz w:val="24"/>
          <w:szCs w:val="24"/>
        </w:rPr>
        <w:t>我院内设机构5个，具体设置情况如下：第一检察部、 第二检察部、第三检察部、办公室、政治部</w:t>
      </w:r>
      <w:r>
        <w:rPr>
          <w:rFonts w:hint="eastAsia" w:ascii="宋体" w:hAnsi="宋体" w:eastAsia="宋体" w:cs="宋体"/>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ascii="宋体" w:hAnsi="宋体" w:eastAsia="宋体" w:cs="宋体"/>
          <w:sz w:val="24"/>
          <w:szCs w:val="24"/>
        </w:rPr>
      </w:pPr>
    </w:p>
    <w:p>
      <w:pPr>
        <w:numPr>
          <w:ilvl w:val="0"/>
          <w:numId w:val="1"/>
        </w:numPr>
        <w:ind w:left="120" w:leftChars="0" w:firstLine="0" w:firstLineChars="0"/>
        <w:jc w:val="center"/>
        <w:outlineLvl w:val="0"/>
        <w:rPr>
          <w:rFonts w:ascii="宋体" w:hAnsi="宋体" w:eastAsia="宋体" w:cs="宋体"/>
          <w:b/>
          <w:bCs/>
          <w:i w:val="0"/>
          <w:iCs w:val="0"/>
          <w:sz w:val="32"/>
          <w:szCs w:val="32"/>
        </w:rPr>
      </w:pPr>
      <w:bookmarkStart w:id="4" w:name="_Toc6063"/>
      <w:r>
        <w:rPr>
          <w:rFonts w:ascii="宋体" w:hAnsi="宋体" w:eastAsia="宋体" w:cs="宋体"/>
          <w:b/>
          <w:bCs/>
          <w:i w:val="0"/>
          <w:iCs w:val="0"/>
          <w:sz w:val="32"/>
          <w:szCs w:val="32"/>
        </w:rPr>
        <w:t>2021 年度单位预算报表</w:t>
      </w:r>
      <w:bookmarkEnd w:id="4"/>
    </w:p>
    <w:p>
      <w:pPr>
        <w:numPr>
          <w:ilvl w:val="0"/>
          <w:numId w:val="0"/>
        </w:numPr>
        <w:ind w:left="120" w:leftChars="0"/>
        <w:jc w:val="both"/>
        <w:rPr>
          <w:rFonts w:ascii="宋体" w:hAnsi="宋体" w:eastAsia="宋体" w:cs="宋体"/>
          <w:b/>
          <w:bCs/>
          <w:i w:val="0"/>
          <w:iCs w:val="0"/>
          <w:sz w:val="32"/>
          <w:szCs w:val="32"/>
        </w:rPr>
      </w:pPr>
    </w:p>
    <w:p>
      <w:pPr>
        <w:numPr>
          <w:ilvl w:val="0"/>
          <w:numId w:val="3"/>
        </w:numPr>
        <w:ind w:left="240" w:leftChars="0" w:firstLine="0" w:firstLineChars="0"/>
        <w:outlineLvl w:val="1"/>
        <w:rPr>
          <w:rFonts w:ascii="宋体" w:hAnsi="宋体" w:eastAsia="宋体" w:cs="宋体"/>
          <w:sz w:val="24"/>
          <w:szCs w:val="24"/>
        </w:rPr>
      </w:pPr>
      <w:bookmarkStart w:id="5" w:name="_Toc2505"/>
      <w:r>
        <w:rPr>
          <w:rFonts w:ascii="宋体" w:hAnsi="宋体" w:eastAsia="宋体" w:cs="宋体"/>
          <w:sz w:val="24"/>
          <w:szCs w:val="24"/>
        </w:rPr>
        <w:t>新荣区检察院 2021 年预算收支总表</w:t>
      </w:r>
      <w:bookmarkEnd w:id="5"/>
    </w:p>
    <w:tbl>
      <w:tblPr>
        <w:tblStyle w:val="6"/>
        <w:tblW w:w="9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85"/>
        <w:gridCol w:w="1650"/>
        <w:gridCol w:w="2550"/>
        <w:gridCol w:w="16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3285"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165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2550"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65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2021年预算收支总表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收入</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2021年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一、一般公共预算</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814.06</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一般公共服务支出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二、纳入预算管理的政府性基金</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外交支出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三、财政专户管理资金</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国防支出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四、单位资金</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公共安全支出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738.81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教育支出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科学技术支出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文化旅游体育与传媒支出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社会保障和就业支出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社会保险基金支出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卫生健康支出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节能环保支出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城乡社区支出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农林水支出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交通运输支出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资源勘探工业信息等支出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商业服务业等支出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金融支出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援助其他地区支出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自然资源海洋气象等支出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住房保障支出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粮油物资储备支出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灾害防治及应急管理支出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预备费</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转移性支出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债务还本支出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债务付息支出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债务发行费用支出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抗疫特别国债安排的支出</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本年收入合计</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814.06</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本年支出合计</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814.06</w:t>
            </w:r>
          </w:p>
        </w:tc>
      </w:tr>
    </w:tbl>
    <w:p>
      <w:pPr>
        <w:numPr>
          <w:ilvl w:val="0"/>
          <w:numId w:val="0"/>
        </w:numPr>
        <w:ind w:left="240" w:leftChars="0"/>
        <w:rPr>
          <w:rFonts w:ascii="宋体" w:hAnsi="宋体" w:eastAsia="宋体" w:cs="宋体"/>
          <w:sz w:val="24"/>
          <w:szCs w:val="24"/>
        </w:rPr>
      </w:pPr>
    </w:p>
    <w:p>
      <w:pPr>
        <w:numPr>
          <w:ilvl w:val="0"/>
          <w:numId w:val="0"/>
        </w:numPr>
        <w:ind w:left="240" w:leftChars="0"/>
        <w:rPr>
          <w:rFonts w:ascii="宋体" w:hAnsi="宋体" w:eastAsia="宋体" w:cs="宋体"/>
          <w:sz w:val="24"/>
          <w:szCs w:val="24"/>
        </w:rPr>
      </w:pPr>
    </w:p>
    <w:p>
      <w:pPr>
        <w:numPr>
          <w:ilvl w:val="0"/>
          <w:numId w:val="3"/>
        </w:numPr>
        <w:ind w:left="240" w:leftChars="0" w:firstLine="0" w:firstLineChars="0"/>
        <w:outlineLvl w:val="1"/>
        <w:rPr>
          <w:rFonts w:ascii="宋体" w:hAnsi="宋体" w:eastAsia="宋体" w:cs="宋体"/>
          <w:sz w:val="24"/>
          <w:szCs w:val="24"/>
        </w:rPr>
      </w:pPr>
      <w:bookmarkStart w:id="6" w:name="_Toc906"/>
      <w:r>
        <w:rPr>
          <w:rFonts w:ascii="宋体" w:hAnsi="宋体" w:eastAsia="宋体" w:cs="宋体"/>
          <w:sz w:val="24"/>
          <w:szCs w:val="24"/>
        </w:rPr>
        <w:t>新荣区检察院 2021 年预算收入总表</w:t>
      </w:r>
      <w:bookmarkEnd w:id="6"/>
    </w:p>
    <w:p>
      <w:pPr>
        <w:numPr>
          <w:ilvl w:val="0"/>
          <w:numId w:val="0"/>
        </w:numPr>
        <w:ind w:left="240" w:leftChars="0"/>
        <w:rPr>
          <w:rFonts w:ascii="宋体" w:hAnsi="宋体" w:eastAsia="宋体" w:cs="宋体"/>
          <w:sz w:val="24"/>
          <w:szCs w:val="24"/>
        </w:rPr>
      </w:pPr>
    </w:p>
    <w:tbl>
      <w:tblPr>
        <w:tblStyle w:val="6"/>
        <w:tblW w:w="84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2136"/>
        <w:gridCol w:w="2248"/>
        <w:gridCol w:w="936"/>
        <w:gridCol w:w="761"/>
        <w:gridCol w:w="761"/>
        <w:gridCol w:w="1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779"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136"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2248"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779"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761"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761"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012"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2021年预算收入总表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 w:hRule="atLeast"/>
        </w:trPr>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2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2021年预算数</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8" w:hRule="atLeast"/>
        </w:trPr>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科目编码</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科目名称</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科目名称</w:t>
            </w:r>
          </w:p>
        </w:tc>
        <w:tc>
          <w:tcPr>
            <w:tcW w:w="7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一般公共预算</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政府性基金</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财政专户管理资金</w:t>
            </w:r>
          </w:p>
        </w:tc>
        <w:tc>
          <w:tcPr>
            <w:tcW w:w="10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公共安全支出</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04</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检察</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检察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01</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行政运行</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02</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一般行政管理事务</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社会保障和就业支出</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05</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行政事业单位养老支出</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01</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行政单位离退休</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05</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机关事业单位基本养老保险缴费支出</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卫生健康支出</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07</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计划生育事务</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计划生育事务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99</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其他计划生育事务支出</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其他计划生育事务支出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11</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行政事业单位医疗</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01</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行政单位医疗</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03</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公务员医疗补助</w:t>
            </w:r>
          </w:p>
        </w:tc>
        <w:tc>
          <w:tcPr>
            <w:tcW w:w="22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numPr>
          <w:ilvl w:val="0"/>
          <w:numId w:val="0"/>
        </w:numPr>
        <w:ind w:left="240" w:leftChars="0"/>
        <w:rPr>
          <w:rFonts w:ascii="宋体" w:hAnsi="宋体" w:eastAsia="宋体" w:cs="宋体"/>
          <w:sz w:val="24"/>
          <w:szCs w:val="24"/>
        </w:rPr>
      </w:pPr>
    </w:p>
    <w:p>
      <w:pPr>
        <w:numPr>
          <w:ilvl w:val="0"/>
          <w:numId w:val="0"/>
        </w:numPr>
        <w:ind w:left="240" w:leftChars="0"/>
        <w:rPr>
          <w:rFonts w:ascii="宋体" w:hAnsi="宋体" w:eastAsia="宋体" w:cs="宋体"/>
          <w:sz w:val="24"/>
          <w:szCs w:val="24"/>
        </w:rPr>
      </w:pPr>
    </w:p>
    <w:p>
      <w:pPr>
        <w:numPr>
          <w:ilvl w:val="0"/>
          <w:numId w:val="3"/>
        </w:numPr>
        <w:ind w:left="240" w:leftChars="0" w:firstLine="0" w:firstLineChars="0"/>
        <w:outlineLvl w:val="1"/>
        <w:rPr>
          <w:rFonts w:ascii="宋体" w:hAnsi="宋体" w:eastAsia="宋体" w:cs="宋体"/>
          <w:sz w:val="24"/>
          <w:szCs w:val="24"/>
        </w:rPr>
      </w:pPr>
      <w:bookmarkStart w:id="7" w:name="_Toc16077"/>
      <w:r>
        <w:rPr>
          <w:rFonts w:ascii="宋体" w:hAnsi="宋体" w:eastAsia="宋体" w:cs="宋体"/>
          <w:sz w:val="24"/>
          <w:szCs w:val="24"/>
        </w:rPr>
        <w:t>新荣区检察院 2021 年预算支出总表</w:t>
      </w:r>
      <w:bookmarkEnd w:id="7"/>
      <w:r>
        <w:rPr>
          <w:rFonts w:ascii="宋体" w:hAnsi="宋体" w:eastAsia="宋体" w:cs="宋体"/>
          <w:sz w:val="24"/>
          <w:szCs w:val="24"/>
        </w:rPr>
        <w:t xml:space="preserve"> </w:t>
      </w:r>
    </w:p>
    <w:tbl>
      <w:tblPr>
        <w:tblStyle w:val="6"/>
        <w:tblpPr w:leftFromText="180" w:rightFromText="180" w:vertAnchor="text" w:horzAnchor="page" w:tblpX="1117" w:tblpY="506"/>
        <w:tblOverlap w:val="never"/>
        <w:tblW w:w="94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56"/>
        <w:gridCol w:w="3689"/>
        <w:gridCol w:w="1549"/>
        <w:gridCol w:w="1488"/>
        <w:gridCol w:w="1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 w:hRule="atLeast"/>
        </w:trPr>
        <w:tc>
          <w:tcPr>
            <w:tcW w:w="1256"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3689"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549"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488"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47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9458"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2021年预算支出总表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trPr>
        <w:tc>
          <w:tcPr>
            <w:tcW w:w="1256"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3689"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549"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88" w:type="dxa"/>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47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49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45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科目编码</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科目名称</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基本支出</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814.06</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515.98</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公共安全支出</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738.81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04</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检察</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738.81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01</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行政运行</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440.73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440.73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02</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一般行政管理事务</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298.08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社会保障和就业支出</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05</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行政事业单位养老支出</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46.04</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01</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行政单位离退休</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05</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机关事业单位基本养老保险缴费支出</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卫生健康支出</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29.21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07</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计划生育事务</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99</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其他计划生育事务支出</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11</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行政事业单位医疗</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23.03</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01</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行政单位医疗</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17.91</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1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03</w:t>
            </w:r>
          </w:p>
        </w:tc>
        <w:tc>
          <w:tcPr>
            <w:tcW w:w="3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公务员医疗补助</w:t>
            </w:r>
          </w:p>
        </w:tc>
        <w:tc>
          <w:tcPr>
            <w:tcW w:w="15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5.12</w:t>
            </w:r>
          </w:p>
        </w:tc>
        <w:tc>
          <w:tcPr>
            <w:tcW w:w="1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5.12</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numPr>
          <w:ilvl w:val="0"/>
          <w:numId w:val="0"/>
        </w:numPr>
        <w:ind w:left="240" w:leftChars="0"/>
        <w:rPr>
          <w:rFonts w:ascii="宋体" w:hAnsi="宋体" w:eastAsia="宋体" w:cs="宋体"/>
          <w:sz w:val="24"/>
          <w:szCs w:val="24"/>
        </w:rPr>
      </w:pPr>
    </w:p>
    <w:p>
      <w:pPr>
        <w:numPr>
          <w:ilvl w:val="0"/>
          <w:numId w:val="0"/>
        </w:numPr>
        <w:ind w:left="240" w:leftChars="0"/>
        <w:rPr>
          <w:rFonts w:ascii="宋体" w:hAnsi="宋体" w:eastAsia="宋体" w:cs="宋体"/>
          <w:sz w:val="24"/>
          <w:szCs w:val="24"/>
        </w:rPr>
      </w:pPr>
    </w:p>
    <w:p>
      <w:pPr>
        <w:numPr>
          <w:ilvl w:val="0"/>
          <w:numId w:val="3"/>
        </w:numPr>
        <w:ind w:left="240" w:leftChars="0" w:firstLine="0" w:firstLineChars="0"/>
        <w:outlineLvl w:val="1"/>
        <w:rPr>
          <w:rFonts w:ascii="宋体" w:hAnsi="宋体" w:eastAsia="宋体" w:cs="宋体"/>
          <w:sz w:val="24"/>
          <w:szCs w:val="24"/>
        </w:rPr>
      </w:pPr>
      <w:bookmarkStart w:id="8" w:name="_Toc2405"/>
      <w:r>
        <w:rPr>
          <w:rFonts w:ascii="宋体" w:hAnsi="宋体" w:eastAsia="宋体" w:cs="宋体"/>
          <w:sz w:val="24"/>
          <w:szCs w:val="24"/>
        </w:rPr>
        <w:t>新荣区检察院 2021 年财政拨款收支总表</w:t>
      </w:r>
      <w:bookmarkEnd w:id="8"/>
      <w:r>
        <w:rPr>
          <w:rFonts w:ascii="宋体" w:hAnsi="宋体" w:eastAsia="宋体" w:cs="宋体"/>
          <w:sz w:val="24"/>
          <w:szCs w:val="24"/>
        </w:rPr>
        <w:t xml:space="preserve"> </w:t>
      </w:r>
    </w:p>
    <w:tbl>
      <w:tblPr>
        <w:tblStyle w:val="6"/>
        <w:tblpPr w:leftFromText="180" w:rightFromText="180" w:vertAnchor="text" w:horzAnchor="page" w:tblpX="624" w:tblpY="504"/>
        <w:tblOverlap w:val="never"/>
        <w:tblW w:w="1048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76"/>
        <w:gridCol w:w="1176"/>
        <w:gridCol w:w="2657"/>
        <w:gridCol w:w="1232"/>
        <w:gridCol w:w="1270"/>
        <w:gridCol w:w="1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0489" w:type="dxa"/>
            <w:gridSpan w:val="6"/>
            <w:tcBorders>
              <w:top w:val="nil"/>
              <w:left w:val="nil"/>
              <w:bottom w:val="nil"/>
              <w:right w:val="nil"/>
            </w:tcBorders>
            <w:shd w:val="clear" w:color="auto" w:fill="auto"/>
            <w:noWrap/>
            <w:vAlign w:val="center"/>
          </w:tcPr>
          <w:p>
            <w:pPr>
              <w:numPr>
                <w:ilvl w:val="0"/>
                <w:numId w:val="0"/>
              </w:numPr>
              <w:ind w:left="240" w:leftChars="0"/>
              <w:jc w:val="center"/>
              <w:rPr>
                <w:rFonts w:ascii="宋体" w:hAnsi="宋体" w:eastAsia="宋体" w:cs="宋体"/>
                <w:sz w:val="24"/>
                <w:szCs w:val="24"/>
              </w:rPr>
            </w:pPr>
            <w:r>
              <w:rPr>
                <w:rFonts w:hint="eastAsia" w:ascii="宋体" w:hAnsi="宋体" w:eastAsia="宋体" w:cs="宋体"/>
                <w:sz w:val="24"/>
                <w:szCs w:val="24"/>
                <w:lang w:val="en-US" w:eastAsia="zh-CN"/>
              </w:rPr>
              <w:t>2021年财政拨款收支总表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nil"/>
              <w:left w:val="nil"/>
              <w:bottom w:val="nil"/>
              <w:right w:val="nil"/>
            </w:tcBorders>
            <w:shd w:val="clear" w:color="auto" w:fill="auto"/>
            <w:noWrap/>
            <w:vAlign w:val="bottom"/>
          </w:tcPr>
          <w:p>
            <w:pPr>
              <w:numPr>
                <w:ilvl w:val="0"/>
                <w:numId w:val="0"/>
              </w:numPr>
              <w:ind w:left="240" w:leftChars="0"/>
              <w:rPr>
                <w:rFonts w:hint="eastAsia" w:ascii="宋体" w:hAnsi="宋体" w:eastAsia="宋体" w:cs="宋体"/>
                <w:sz w:val="24"/>
                <w:szCs w:val="24"/>
              </w:rPr>
            </w:pPr>
          </w:p>
        </w:tc>
        <w:tc>
          <w:tcPr>
            <w:tcW w:w="1176" w:type="dxa"/>
            <w:tcBorders>
              <w:top w:val="nil"/>
              <w:left w:val="nil"/>
              <w:bottom w:val="nil"/>
              <w:right w:val="nil"/>
            </w:tcBorders>
            <w:shd w:val="clear" w:color="auto" w:fill="auto"/>
            <w:noWrap/>
            <w:vAlign w:val="bottom"/>
          </w:tcPr>
          <w:p>
            <w:pPr>
              <w:numPr>
                <w:ilvl w:val="0"/>
                <w:numId w:val="0"/>
              </w:numPr>
              <w:ind w:left="240" w:leftChars="0"/>
              <w:rPr>
                <w:rFonts w:hint="eastAsia" w:ascii="宋体" w:hAnsi="宋体" w:eastAsia="宋体" w:cs="宋体"/>
                <w:sz w:val="24"/>
                <w:szCs w:val="24"/>
              </w:rPr>
            </w:pPr>
          </w:p>
        </w:tc>
        <w:tc>
          <w:tcPr>
            <w:tcW w:w="2657" w:type="dxa"/>
            <w:tcBorders>
              <w:top w:val="nil"/>
              <w:left w:val="nil"/>
              <w:bottom w:val="nil"/>
              <w:right w:val="nil"/>
            </w:tcBorders>
            <w:shd w:val="clear" w:color="auto" w:fill="auto"/>
            <w:noWrap/>
            <w:vAlign w:val="bottom"/>
          </w:tcPr>
          <w:p>
            <w:pPr>
              <w:numPr>
                <w:ilvl w:val="0"/>
                <w:numId w:val="0"/>
              </w:numPr>
              <w:ind w:left="240" w:leftChars="0"/>
              <w:rPr>
                <w:rFonts w:hint="eastAsia" w:ascii="宋体" w:hAnsi="宋体" w:eastAsia="宋体" w:cs="宋体"/>
                <w:sz w:val="24"/>
                <w:szCs w:val="24"/>
              </w:rPr>
            </w:pPr>
          </w:p>
        </w:tc>
        <w:tc>
          <w:tcPr>
            <w:tcW w:w="1232" w:type="dxa"/>
            <w:tcBorders>
              <w:top w:val="nil"/>
              <w:left w:val="nil"/>
              <w:bottom w:val="nil"/>
              <w:right w:val="nil"/>
            </w:tcBorders>
            <w:shd w:val="clear" w:color="auto" w:fill="auto"/>
            <w:noWrap/>
            <w:vAlign w:val="bottom"/>
          </w:tcPr>
          <w:p>
            <w:pPr>
              <w:numPr>
                <w:ilvl w:val="0"/>
                <w:numId w:val="0"/>
              </w:numPr>
              <w:ind w:left="240" w:leftChars="0"/>
              <w:rPr>
                <w:rFonts w:hint="eastAsia" w:ascii="宋体" w:hAnsi="宋体" w:eastAsia="宋体" w:cs="宋体"/>
                <w:sz w:val="24"/>
                <w:szCs w:val="24"/>
              </w:rPr>
            </w:pPr>
          </w:p>
        </w:tc>
        <w:tc>
          <w:tcPr>
            <w:tcW w:w="1270" w:type="dxa"/>
            <w:tcBorders>
              <w:top w:val="nil"/>
              <w:left w:val="nil"/>
              <w:bottom w:val="nil"/>
              <w:right w:val="nil"/>
            </w:tcBorders>
            <w:shd w:val="clear" w:color="auto" w:fill="auto"/>
            <w:noWrap/>
            <w:vAlign w:val="bottom"/>
          </w:tcPr>
          <w:p>
            <w:pPr>
              <w:numPr>
                <w:ilvl w:val="0"/>
                <w:numId w:val="0"/>
              </w:numPr>
              <w:ind w:left="240" w:leftChars="0"/>
              <w:rPr>
                <w:rFonts w:hint="eastAsia" w:ascii="宋体" w:hAnsi="宋体" w:eastAsia="宋体" w:cs="宋体"/>
                <w:sz w:val="24"/>
                <w:szCs w:val="24"/>
              </w:rPr>
            </w:pPr>
          </w:p>
        </w:tc>
        <w:tc>
          <w:tcPr>
            <w:tcW w:w="1778" w:type="dxa"/>
            <w:tcBorders>
              <w:top w:val="nil"/>
              <w:left w:val="nil"/>
              <w:bottom w:val="nil"/>
              <w:right w:val="nil"/>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5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收入</w:t>
            </w:r>
          </w:p>
        </w:tc>
        <w:tc>
          <w:tcPr>
            <w:tcW w:w="693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项目</w:t>
            </w: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金额</w:t>
            </w:r>
          </w:p>
        </w:tc>
        <w:tc>
          <w:tcPr>
            <w:tcW w:w="26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项目</w:t>
            </w:r>
          </w:p>
        </w:tc>
        <w:tc>
          <w:tcPr>
            <w:tcW w:w="42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小计</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一般公共预算</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政府性基金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一、一般公共预算</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814.06</w:t>
            </w: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一般公共服务支出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二、纳入预算管理的政府性基金</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外交支出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国防支出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公共安全支出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738.81</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738.81</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教育支出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科学技术支出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文化旅游体育与传媒支出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社会保障和就业支出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46.04</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46.04</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社会保险基金支出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卫生健康支出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29.21</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29.21</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节能环保支出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城乡社区支出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农林水支出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交通运输支出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资源勘探工业信息等支出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商业服务业等支出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金融支出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援助其他地区支出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自然资源海洋气象等支出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住房保障支出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粮油物资储备支出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国有资本经营预算支出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灾害防治及应急管理支出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预备费</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其他支出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转移性支出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债务还本支出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债务付息支出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债务发行费用支出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抗疫特别国债安排的支出</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本年收入合计</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814.06</w:t>
            </w:r>
          </w:p>
        </w:tc>
        <w:tc>
          <w:tcPr>
            <w:tcW w:w="2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本年支出合计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814.06</w:t>
            </w:r>
          </w:p>
        </w:tc>
        <w:tc>
          <w:tcPr>
            <w:tcW w:w="12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r>
              <w:rPr>
                <w:rFonts w:hint="eastAsia" w:ascii="宋体" w:hAnsi="宋体" w:eastAsia="宋体" w:cs="宋体"/>
                <w:sz w:val="24"/>
                <w:szCs w:val="24"/>
                <w:lang w:val="en-US" w:eastAsia="zh-CN"/>
              </w:rPr>
              <w:t>814.06</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240" w:leftChars="0"/>
              <w:rPr>
                <w:rFonts w:hint="eastAsia" w:ascii="宋体" w:hAnsi="宋体" w:eastAsia="宋体" w:cs="宋体"/>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2376" w:type="dxa"/>
            <w:tcBorders>
              <w:top w:val="nil"/>
              <w:left w:val="nil"/>
              <w:bottom w:val="nil"/>
              <w:right w:val="nil"/>
            </w:tcBorders>
            <w:shd w:val="clear" w:color="auto" w:fill="auto"/>
            <w:noWrap/>
            <w:vAlign w:val="bottom"/>
          </w:tcPr>
          <w:p>
            <w:pPr>
              <w:numPr>
                <w:ilvl w:val="0"/>
                <w:numId w:val="0"/>
              </w:numPr>
              <w:ind w:left="240" w:leftChars="0"/>
              <w:rPr>
                <w:rFonts w:hint="eastAsia" w:ascii="宋体" w:hAnsi="宋体" w:eastAsia="宋体" w:cs="宋体"/>
                <w:sz w:val="24"/>
                <w:szCs w:val="24"/>
              </w:rPr>
            </w:pPr>
          </w:p>
        </w:tc>
        <w:tc>
          <w:tcPr>
            <w:tcW w:w="1176" w:type="dxa"/>
            <w:tcBorders>
              <w:top w:val="nil"/>
              <w:left w:val="nil"/>
              <w:bottom w:val="nil"/>
              <w:right w:val="nil"/>
            </w:tcBorders>
            <w:shd w:val="clear" w:color="auto" w:fill="auto"/>
            <w:noWrap/>
            <w:vAlign w:val="bottom"/>
          </w:tcPr>
          <w:p>
            <w:pPr>
              <w:numPr>
                <w:ilvl w:val="0"/>
                <w:numId w:val="0"/>
              </w:numPr>
              <w:ind w:left="240" w:leftChars="0"/>
              <w:rPr>
                <w:rFonts w:hint="default" w:ascii="宋体" w:hAnsi="宋体" w:eastAsia="宋体" w:cs="宋体"/>
                <w:sz w:val="24"/>
                <w:szCs w:val="24"/>
              </w:rPr>
            </w:pPr>
          </w:p>
        </w:tc>
        <w:tc>
          <w:tcPr>
            <w:tcW w:w="2657" w:type="dxa"/>
            <w:tcBorders>
              <w:top w:val="nil"/>
              <w:left w:val="nil"/>
              <w:bottom w:val="nil"/>
              <w:right w:val="nil"/>
            </w:tcBorders>
            <w:shd w:val="clear" w:color="auto" w:fill="auto"/>
            <w:noWrap/>
            <w:vAlign w:val="bottom"/>
          </w:tcPr>
          <w:p>
            <w:pPr>
              <w:numPr>
                <w:ilvl w:val="0"/>
                <w:numId w:val="0"/>
              </w:numPr>
              <w:ind w:left="240" w:leftChars="0"/>
              <w:rPr>
                <w:rFonts w:hint="default" w:ascii="宋体" w:hAnsi="宋体" w:eastAsia="宋体" w:cs="宋体"/>
                <w:sz w:val="24"/>
                <w:szCs w:val="24"/>
              </w:rPr>
            </w:pPr>
          </w:p>
        </w:tc>
        <w:tc>
          <w:tcPr>
            <w:tcW w:w="1232" w:type="dxa"/>
            <w:tcBorders>
              <w:top w:val="nil"/>
              <w:left w:val="nil"/>
              <w:bottom w:val="nil"/>
              <w:right w:val="nil"/>
            </w:tcBorders>
            <w:shd w:val="clear" w:color="auto" w:fill="auto"/>
            <w:noWrap/>
            <w:vAlign w:val="bottom"/>
          </w:tcPr>
          <w:p>
            <w:pPr>
              <w:numPr>
                <w:ilvl w:val="0"/>
                <w:numId w:val="0"/>
              </w:numPr>
              <w:ind w:left="240" w:leftChars="0"/>
              <w:rPr>
                <w:rFonts w:hint="default" w:ascii="宋体" w:hAnsi="宋体" w:eastAsia="宋体" w:cs="宋体"/>
                <w:sz w:val="24"/>
                <w:szCs w:val="24"/>
              </w:rPr>
            </w:pPr>
          </w:p>
        </w:tc>
        <w:tc>
          <w:tcPr>
            <w:tcW w:w="1270" w:type="dxa"/>
            <w:tcBorders>
              <w:top w:val="nil"/>
              <w:left w:val="nil"/>
              <w:bottom w:val="nil"/>
              <w:right w:val="nil"/>
            </w:tcBorders>
            <w:shd w:val="clear" w:color="auto" w:fill="auto"/>
            <w:noWrap/>
            <w:vAlign w:val="bottom"/>
          </w:tcPr>
          <w:p>
            <w:pPr>
              <w:numPr>
                <w:ilvl w:val="0"/>
                <w:numId w:val="0"/>
              </w:numPr>
              <w:ind w:left="240" w:leftChars="0"/>
              <w:rPr>
                <w:rFonts w:hint="default" w:ascii="宋体" w:hAnsi="宋体" w:eastAsia="宋体" w:cs="宋体"/>
                <w:sz w:val="24"/>
                <w:szCs w:val="24"/>
              </w:rPr>
            </w:pPr>
          </w:p>
        </w:tc>
        <w:tc>
          <w:tcPr>
            <w:tcW w:w="1778" w:type="dxa"/>
            <w:tcBorders>
              <w:top w:val="nil"/>
              <w:left w:val="nil"/>
              <w:bottom w:val="nil"/>
              <w:right w:val="nil"/>
            </w:tcBorders>
            <w:shd w:val="clear" w:color="auto" w:fill="auto"/>
            <w:noWrap/>
            <w:vAlign w:val="bottom"/>
          </w:tcPr>
          <w:p>
            <w:pPr>
              <w:numPr>
                <w:ilvl w:val="0"/>
                <w:numId w:val="0"/>
              </w:numPr>
              <w:ind w:left="240" w:leftChars="0"/>
              <w:rPr>
                <w:rFonts w:hint="default" w:ascii="宋体" w:hAnsi="宋体" w:eastAsia="宋体" w:cs="宋体"/>
                <w:sz w:val="24"/>
                <w:szCs w:val="24"/>
              </w:rPr>
            </w:pPr>
          </w:p>
        </w:tc>
      </w:tr>
    </w:tbl>
    <w:p>
      <w:pPr>
        <w:numPr>
          <w:ilvl w:val="0"/>
          <w:numId w:val="0"/>
        </w:numPr>
        <w:ind w:left="240" w:leftChars="0"/>
        <w:rPr>
          <w:rFonts w:ascii="宋体" w:hAnsi="宋体" w:eastAsia="宋体" w:cs="宋体"/>
          <w:sz w:val="24"/>
          <w:szCs w:val="24"/>
        </w:rPr>
      </w:pPr>
    </w:p>
    <w:p>
      <w:pPr>
        <w:numPr>
          <w:ilvl w:val="0"/>
          <w:numId w:val="3"/>
        </w:numPr>
        <w:ind w:left="240" w:leftChars="0" w:firstLine="0" w:firstLineChars="0"/>
        <w:outlineLvl w:val="1"/>
        <w:rPr>
          <w:rFonts w:ascii="宋体" w:hAnsi="宋体" w:eastAsia="宋体" w:cs="宋体"/>
          <w:sz w:val="24"/>
          <w:szCs w:val="24"/>
        </w:rPr>
      </w:pPr>
      <w:bookmarkStart w:id="9" w:name="_Toc4775"/>
      <w:r>
        <w:rPr>
          <w:rFonts w:ascii="宋体" w:hAnsi="宋体" w:eastAsia="宋体" w:cs="宋体"/>
          <w:sz w:val="24"/>
          <w:szCs w:val="24"/>
        </w:rPr>
        <w:t>新荣区检察院 2021 年一般公共预算支出预算表</w:t>
      </w:r>
      <w:bookmarkEnd w:id="9"/>
      <w:r>
        <w:rPr>
          <w:rFonts w:ascii="宋体" w:hAnsi="宋体" w:eastAsia="宋体" w:cs="宋体"/>
          <w:sz w:val="24"/>
          <w:szCs w:val="24"/>
        </w:rPr>
        <w:t xml:space="preserve"> </w:t>
      </w:r>
    </w:p>
    <w:tbl>
      <w:tblPr>
        <w:tblStyle w:val="6"/>
        <w:tblpPr w:leftFromText="180" w:rightFromText="180" w:vertAnchor="text" w:horzAnchor="page" w:tblpX="731" w:tblpY="333"/>
        <w:tblOverlap w:val="never"/>
        <w:tblW w:w="109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96"/>
        <w:gridCol w:w="4176"/>
        <w:gridCol w:w="1845"/>
        <w:gridCol w:w="1773"/>
        <w:gridCol w:w="17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1496"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404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845"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773"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75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0" w:type="auto"/>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2021年一般预算支出预算表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3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814.06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检察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一般行政管理事务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计划生育事务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其他计划生育事务支出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bl>
    <w:p>
      <w:pPr>
        <w:numPr>
          <w:ilvl w:val="0"/>
          <w:numId w:val="0"/>
        </w:numPr>
        <w:ind w:left="240" w:leftChars="0"/>
        <w:rPr>
          <w:rFonts w:ascii="宋体" w:hAnsi="宋体" w:eastAsia="宋体" w:cs="宋体"/>
          <w:sz w:val="24"/>
          <w:szCs w:val="24"/>
        </w:rPr>
      </w:pPr>
    </w:p>
    <w:p>
      <w:pPr>
        <w:numPr>
          <w:ilvl w:val="0"/>
          <w:numId w:val="0"/>
        </w:numPr>
        <w:ind w:left="240" w:leftChars="0"/>
        <w:rPr>
          <w:rFonts w:ascii="宋体" w:hAnsi="宋体" w:eastAsia="宋体" w:cs="宋体"/>
          <w:sz w:val="24"/>
          <w:szCs w:val="24"/>
        </w:rPr>
      </w:pPr>
    </w:p>
    <w:p>
      <w:pPr>
        <w:numPr>
          <w:ilvl w:val="0"/>
          <w:numId w:val="3"/>
        </w:numPr>
        <w:ind w:left="240" w:leftChars="0" w:firstLine="0" w:firstLineChars="0"/>
        <w:outlineLvl w:val="1"/>
        <w:rPr>
          <w:rFonts w:ascii="宋体" w:hAnsi="宋体" w:eastAsia="宋体" w:cs="宋体"/>
          <w:sz w:val="24"/>
          <w:szCs w:val="24"/>
        </w:rPr>
      </w:pPr>
      <w:bookmarkStart w:id="10" w:name="_Toc24881"/>
      <w:r>
        <w:rPr>
          <w:rFonts w:ascii="宋体" w:hAnsi="宋体" w:eastAsia="宋体" w:cs="宋体"/>
          <w:sz w:val="24"/>
          <w:szCs w:val="24"/>
        </w:rPr>
        <w:t>新荣区检察院 2021 年一般公共预算安排基本支出 分经济科目表</w:t>
      </w:r>
      <w:bookmarkEnd w:id="10"/>
      <w:r>
        <w:rPr>
          <w:rFonts w:ascii="宋体" w:hAnsi="宋体" w:eastAsia="宋体" w:cs="宋体"/>
          <w:sz w:val="24"/>
          <w:szCs w:val="24"/>
        </w:rPr>
        <w:t xml:space="preserve"> </w:t>
      </w:r>
    </w:p>
    <w:tbl>
      <w:tblPr>
        <w:tblStyle w:val="6"/>
        <w:tblW w:w="88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46"/>
        <w:gridCol w:w="1389"/>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经济科目名称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515.98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其他工资福利支出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工会经费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福利费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numPr>
          <w:ilvl w:val="0"/>
          <w:numId w:val="0"/>
        </w:numPr>
        <w:ind w:left="240" w:leftChars="0"/>
        <w:rPr>
          <w:rFonts w:ascii="宋体" w:hAnsi="宋体" w:eastAsia="宋体" w:cs="宋体"/>
          <w:sz w:val="24"/>
          <w:szCs w:val="24"/>
        </w:rPr>
      </w:pPr>
    </w:p>
    <w:p>
      <w:pPr>
        <w:numPr>
          <w:ilvl w:val="0"/>
          <w:numId w:val="3"/>
        </w:numPr>
        <w:ind w:left="240" w:leftChars="0" w:firstLine="0" w:firstLineChars="0"/>
        <w:outlineLvl w:val="1"/>
        <w:rPr>
          <w:rFonts w:ascii="宋体" w:hAnsi="宋体" w:eastAsia="宋体" w:cs="宋体"/>
          <w:sz w:val="24"/>
          <w:szCs w:val="24"/>
        </w:rPr>
      </w:pPr>
      <w:bookmarkStart w:id="11" w:name="_Toc1619"/>
      <w:r>
        <w:rPr>
          <w:rFonts w:ascii="宋体" w:hAnsi="宋体" w:eastAsia="宋体" w:cs="宋体"/>
          <w:sz w:val="24"/>
          <w:szCs w:val="24"/>
        </w:rPr>
        <w:t>新荣区检察院 2021 年政府性基金预算收入预算表</w:t>
      </w:r>
      <w:bookmarkEnd w:id="11"/>
      <w:r>
        <w:rPr>
          <w:rFonts w:ascii="宋体" w:hAnsi="宋体" w:eastAsia="宋体" w:cs="宋体"/>
          <w:sz w:val="24"/>
          <w:szCs w:val="24"/>
        </w:rPr>
        <w:t xml:space="preserve"> </w:t>
      </w:r>
    </w:p>
    <w:tbl>
      <w:tblPr>
        <w:tblStyle w:val="6"/>
        <w:tblW w:w="88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04"/>
        <w:gridCol w:w="4338"/>
        <w:gridCol w:w="23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trPr>
        <w:tc>
          <w:tcPr>
            <w:tcW w:w="2104"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4338"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237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2021年政府性基金预算收入表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1"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433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numPr>
          <w:ilvl w:val="0"/>
          <w:numId w:val="0"/>
        </w:numPr>
        <w:ind w:left="240" w:leftChars="0"/>
        <w:outlineLvl w:val="1"/>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本单位无政府性基金预算收入</w:t>
      </w:r>
    </w:p>
    <w:p>
      <w:pPr>
        <w:numPr>
          <w:ilvl w:val="0"/>
          <w:numId w:val="3"/>
        </w:numPr>
        <w:ind w:left="240" w:leftChars="0" w:firstLine="0" w:firstLineChars="0"/>
        <w:outlineLvl w:val="1"/>
        <w:rPr>
          <w:rFonts w:ascii="宋体" w:hAnsi="宋体" w:eastAsia="宋体" w:cs="宋体"/>
          <w:sz w:val="24"/>
          <w:szCs w:val="24"/>
        </w:rPr>
      </w:pPr>
      <w:bookmarkStart w:id="12" w:name="_Toc13726"/>
      <w:r>
        <w:rPr>
          <w:rFonts w:ascii="宋体" w:hAnsi="宋体" w:eastAsia="宋体" w:cs="宋体"/>
          <w:sz w:val="24"/>
          <w:szCs w:val="24"/>
        </w:rPr>
        <w:t>新荣区人民检察院 2021 年政府性基金预算支出预算表</w:t>
      </w:r>
      <w:bookmarkEnd w:id="12"/>
      <w:r>
        <w:rPr>
          <w:rFonts w:ascii="宋体" w:hAnsi="宋体" w:eastAsia="宋体" w:cs="宋体"/>
          <w:sz w:val="24"/>
          <w:szCs w:val="24"/>
        </w:rPr>
        <w:t xml:space="preserve"> </w:t>
      </w:r>
    </w:p>
    <w:tbl>
      <w:tblPr>
        <w:tblStyle w:val="6"/>
        <w:tblW w:w="90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2"/>
        <w:gridCol w:w="2774"/>
        <w:gridCol w:w="1696"/>
        <w:gridCol w:w="1696"/>
        <w:gridCol w:w="16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atLeast"/>
        </w:trPr>
        <w:tc>
          <w:tcPr>
            <w:tcW w:w="1262"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2774"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696"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696" w:type="dxa"/>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163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0" w:type="auto"/>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2021年政府性基金预算支出预算表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50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277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numPr>
          <w:ilvl w:val="0"/>
          <w:numId w:val="0"/>
        </w:numPr>
        <w:ind w:left="240" w:leftChars="0"/>
        <w:outlineLvl w:val="1"/>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本单位无政府性基金预算收入</w:t>
      </w:r>
    </w:p>
    <w:p>
      <w:pPr>
        <w:numPr>
          <w:ilvl w:val="0"/>
          <w:numId w:val="0"/>
        </w:numPr>
        <w:ind w:left="240" w:leftChars="0"/>
        <w:rPr>
          <w:rFonts w:ascii="宋体" w:hAnsi="宋体" w:eastAsia="宋体" w:cs="宋体"/>
          <w:sz w:val="24"/>
          <w:szCs w:val="24"/>
        </w:rPr>
      </w:pPr>
    </w:p>
    <w:p>
      <w:pPr>
        <w:numPr>
          <w:ilvl w:val="0"/>
          <w:numId w:val="3"/>
        </w:numPr>
        <w:ind w:left="240" w:leftChars="0" w:firstLine="0" w:firstLineChars="0"/>
        <w:outlineLvl w:val="1"/>
        <w:rPr>
          <w:rFonts w:ascii="宋体" w:hAnsi="宋体" w:eastAsia="宋体" w:cs="宋体"/>
          <w:sz w:val="24"/>
          <w:szCs w:val="24"/>
        </w:rPr>
      </w:pPr>
      <w:bookmarkStart w:id="13" w:name="_Toc6359"/>
      <w:r>
        <w:rPr>
          <w:rFonts w:ascii="宋体" w:hAnsi="宋体" w:eastAsia="宋体" w:cs="宋体"/>
          <w:sz w:val="24"/>
          <w:szCs w:val="24"/>
        </w:rPr>
        <w:t>新荣区人民检察院 2021 年“三公”经费预算财政 拨款情况统计表</w:t>
      </w:r>
      <w:bookmarkEnd w:id="13"/>
      <w:r>
        <w:rPr>
          <w:rFonts w:ascii="宋体" w:hAnsi="宋体" w:eastAsia="宋体" w:cs="宋体"/>
          <w:sz w:val="24"/>
          <w:szCs w:val="24"/>
        </w:rPr>
        <w:t xml:space="preserve"> </w:t>
      </w:r>
    </w:p>
    <w:tbl>
      <w:tblPr>
        <w:tblStyle w:val="6"/>
        <w:tblW w:w="83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20"/>
        <w:gridCol w:w="40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320" w:type="dxa"/>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2"/>
                <w:szCs w:val="22"/>
                <w:u w:val="none"/>
              </w:rPr>
            </w:pPr>
          </w:p>
        </w:tc>
        <w:tc>
          <w:tcPr>
            <w:tcW w:w="405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2021年一般公共预算“三公”经费支出情况统计表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bottom"/>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因公出国（境）费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公务用车购置及运行费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①公务用车购置费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②公务用车运行维护费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w:t>
            </w:r>
          </w:p>
        </w:tc>
      </w:tr>
    </w:tbl>
    <w:p>
      <w:pPr>
        <w:numPr>
          <w:ilvl w:val="0"/>
          <w:numId w:val="0"/>
        </w:numPr>
        <w:ind w:left="240" w:leftChars="0"/>
        <w:rPr>
          <w:rFonts w:ascii="宋体" w:hAnsi="宋体" w:eastAsia="宋体" w:cs="宋体"/>
          <w:sz w:val="24"/>
          <w:szCs w:val="24"/>
        </w:rPr>
      </w:pPr>
    </w:p>
    <w:p>
      <w:pPr>
        <w:numPr>
          <w:ilvl w:val="0"/>
          <w:numId w:val="3"/>
        </w:numPr>
        <w:ind w:left="240" w:leftChars="0" w:firstLine="0" w:firstLineChars="0"/>
        <w:outlineLvl w:val="1"/>
        <w:rPr>
          <w:rFonts w:ascii="宋体" w:hAnsi="宋体" w:eastAsia="宋体" w:cs="宋体"/>
          <w:sz w:val="24"/>
          <w:szCs w:val="24"/>
        </w:rPr>
      </w:pPr>
      <w:bookmarkStart w:id="14" w:name="_Toc29770"/>
      <w:r>
        <w:rPr>
          <w:rFonts w:ascii="宋体" w:hAnsi="宋体" w:eastAsia="宋体" w:cs="宋体"/>
          <w:sz w:val="24"/>
          <w:szCs w:val="24"/>
        </w:rPr>
        <w:t>新荣区人民检察院 2021 年机关运行经费预算财政 拨款情况统计表</w:t>
      </w:r>
      <w:bookmarkEnd w:id="14"/>
    </w:p>
    <w:tbl>
      <w:tblPr>
        <w:tblStyle w:val="6"/>
        <w:tblW w:w="85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920"/>
        <w:gridCol w:w="36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920" w:type="dxa"/>
            <w:tcBorders>
              <w:top w:val="nil"/>
              <w:left w:val="nil"/>
              <w:bottom w:val="nil"/>
              <w:right w:val="nil"/>
            </w:tcBorders>
            <w:shd w:val="clear" w:color="auto" w:fill="auto"/>
            <w:noWrap/>
            <w:vAlign w:val="bottom"/>
          </w:tcPr>
          <w:p>
            <w:pPr>
              <w:rPr>
                <w:rFonts w:hint="eastAsia" w:ascii="Calibri" w:hAnsi="Calibri" w:cs="Calibri"/>
                <w:i w:val="0"/>
                <w:iCs w:val="0"/>
                <w:color w:val="000000"/>
                <w:sz w:val="22"/>
                <w:szCs w:val="22"/>
                <w:u w:val="none"/>
              </w:rPr>
            </w:pPr>
          </w:p>
        </w:tc>
        <w:tc>
          <w:tcPr>
            <w:tcW w:w="360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2021年机关运行经费预算财政拨款情况统计表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nil"/>
              <w:left w:val="nil"/>
              <w:bottom w:val="nil"/>
              <w:right w:val="nil"/>
            </w:tcBorders>
            <w:shd w:val="clear" w:color="auto" w:fill="auto"/>
            <w:noWrap/>
            <w:vAlign w:val="bottom"/>
          </w:tcPr>
          <w:p>
            <w:pPr>
              <w:rPr>
                <w:rFonts w:hint="default" w:ascii="Calibri" w:hAnsi="Calibri" w:cs="Calibri"/>
                <w:i w:val="0"/>
                <w:iCs w:val="0"/>
                <w:color w:val="000000"/>
                <w:sz w:val="22"/>
                <w:szCs w:val="22"/>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2021年预算数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大同市新荣区人民检察院机关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94.24</w:t>
            </w:r>
          </w:p>
        </w:tc>
      </w:tr>
    </w:tbl>
    <w:p>
      <w:pPr>
        <w:numPr>
          <w:ilvl w:val="0"/>
          <w:numId w:val="1"/>
        </w:numPr>
        <w:ind w:left="120" w:leftChars="0" w:firstLine="0" w:firstLineChars="0"/>
        <w:jc w:val="center"/>
        <w:outlineLvl w:val="0"/>
        <w:rPr>
          <w:rFonts w:ascii="宋体" w:hAnsi="宋体" w:eastAsia="宋体" w:cs="宋体"/>
          <w:b/>
          <w:bCs/>
          <w:i w:val="0"/>
          <w:iCs w:val="0"/>
          <w:sz w:val="32"/>
          <w:szCs w:val="32"/>
        </w:rPr>
      </w:pPr>
      <w:bookmarkStart w:id="15" w:name="_Toc2375"/>
      <w:r>
        <w:rPr>
          <w:rFonts w:ascii="宋体" w:hAnsi="宋体" w:eastAsia="宋体" w:cs="宋体"/>
          <w:b/>
          <w:bCs/>
          <w:i w:val="0"/>
          <w:iCs w:val="0"/>
          <w:sz w:val="32"/>
          <w:szCs w:val="32"/>
        </w:rPr>
        <w:t>2021 年度单位预算情况说明</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eastAsia="宋体" w:cs="宋体"/>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1"/>
        <w:rPr>
          <w:rFonts w:ascii="宋体" w:hAnsi="宋体" w:eastAsia="宋体" w:cs="宋体"/>
          <w:sz w:val="24"/>
          <w:szCs w:val="24"/>
        </w:rPr>
      </w:pPr>
      <w:bookmarkStart w:id="16" w:name="_Toc28733"/>
      <w:r>
        <w:rPr>
          <w:rFonts w:ascii="宋体" w:hAnsi="宋体" w:eastAsia="宋体" w:cs="宋体"/>
          <w:sz w:val="24"/>
          <w:szCs w:val="24"/>
        </w:rPr>
        <w:t>一、2021 年度单位预算数据变动情况及原因</w:t>
      </w:r>
      <w:bookmarkEnd w:id="16"/>
      <w:r>
        <w:rPr>
          <w:rFonts w:ascii="宋体" w:hAnsi="宋体" w:eastAsia="宋体" w:cs="宋体"/>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20" w:leftChars="0"/>
        <w:textAlignment w:val="auto"/>
        <w:rPr>
          <w:rFonts w:ascii="宋体" w:hAnsi="宋体" w:eastAsia="宋体" w:cs="宋体"/>
          <w:sz w:val="24"/>
          <w:szCs w:val="24"/>
        </w:rPr>
      </w:pPr>
      <w:r>
        <w:rPr>
          <w:rFonts w:ascii="宋体" w:hAnsi="宋体" w:eastAsia="宋体" w:cs="宋体"/>
          <w:sz w:val="24"/>
          <w:szCs w:val="24"/>
        </w:rPr>
        <w:t>2021 年度预算收入总计</w:t>
      </w:r>
      <w:r>
        <w:rPr>
          <w:rFonts w:hint="eastAsia" w:ascii="宋体" w:hAnsi="宋体" w:eastAsia="宋体" w:cs="宋体"/>
          <w:sz w:val="24"/>
          <w:szCs w:val="24"/>
          <w:lang w:val="en-US" w:eastAsia="zh-CN"/>
        </w:rPr>
        <w:t>814.06</w:t>
      </w:r>
      <w:r>
        <w:rPr>
          <w:rFonts w:ascii="宋体" w:hAnsi="宋体" w:eastAsia="宋体" w:cs="宋体"/>
          <w:sz w:val="24"/>
          <w:szCs w:val="24"/>
        </w:rPr>
        <w:t>万元，预算支出总计</w:t>
      </w:r>
      <w:r>
        <w:rPr>
          <w:rFonts w:hint="eastAsia" w:ascii="宋体" w:hAnsi="宋体" w:eastAsia="宋体" w:cs="宋体"/>
          <w:sz w:val="24"/>
          <w:szCs w:val="24"/>
          <w:lang w:val="en-US" w:eastAsia="zh-CN"/>
        </w:rPr>
        <w:t>814.06</w:t>
      </w:r>
      <w:r>
        <w:rPr>
          <w:rFonts w:ascii="宋体" w:hAnsi="宋体" w:eastAsia="宋体" w:cs="宋体"/>
          <w:sz w:val="24"/>
          <w:szCs w:val="24"/>
        </w:rPr>
        <w:t xml:space="preserve">万元。与 2020 年相比，收入增加 73.52 万，增长 9%， 主要原因改造档案室。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1"/>
        <w:rPr>
          <w:rFonts w:ascii="宋体" w:hAnsi="宋体" w:eastAsia="宋体" w:cs="宋体"/>
          <w:sz w:val="24"/>
          <w:szCs w:val="24"/>
        </w:rPr>
      </w:pPr>
      <w:bookmarkStart w:id="17" w:name="_Toc13764"/>
      <w:r>
        <w:rPr>
          <w:rFonts w:hint="eastAsia" w:ascii="宋体" w:hAnsi="宋体" w:eastAsia="宋体" w:cs="宋体"/>
          <w:sz w:val="24"/>
          <w:szCs w:val="24"/>
          <w:lang w:val="en-US" w:eastAsia="zh-CN"/>
        </w:rPr>
        <w:t>二、</w:t>
      </w:r>
      <w:r>
        <w:rPr>
          <w:rFonts w:ascii="宋体" w:hAnsi="宋体" w:eastAsia="宋体" w:cs="宋体"/>
          <w:sz w:val="24"/>
          <w:szCs w:val="24"/>
        </w:rPr>
        <w:t>“三公”经费增减变动原因说明</w:t>
      </w:r>
      <w:bookmarkEnd w:id="17"/>
      <w:r>
        <w:rPr>
          <w:rFonts w:ascii="宋体" w:hAnsi="宋体" w:eastAsia="宋体" w:cs="宋体"/>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sz w:val="24"/>
          <w:szCs w:val="24"/>
        </w:rPr>
      </w:pPr>
      <w:r>
        <w:rPr>
          <w:rFonts w:ascii="宋体" w:hAnsi="宋体" w:eastAsia="宋体" w:cs="宋体"/>
          <w:sz w:val="24"/>
          <w:szCs w:val="24"/>
        </w:rPr>
        <w:t>2021 年一般公共预算安排的“三公”经费预算</w:t>
      </w:r>
      <w:r>
        <w:rPr>
          <w:rFonts w:hint="eastAsia" w:ascii="宋体" w:hAnsi="宋体" w:eastAsia="宋体" w:cs="宋体"/>
          <w:sz w:val="24"/>
          <w:szCs w:val="24"/>
          <w:lang w:val="en-US" w:eastAsia="zh-CN"/>
        </w:rPr>
        <w:t>13</w:t>
      </w:r>
      <w:r>
        <w:rPr>
          <w:rFonts w:ascii="宋体" w:hAnsi="宋体" w:eastAsia="宋体" w:cs="宋体"/>
          <w:sz w:val="24"/>
          <w:szCs w:val="24"/>
        </w:rPr>
        <w:t xml:space="preserve">万元，与去年相比，减少 17.58 万，原因无公务用车购置费。 其中：公出国（境）费用 0 万，与去年持平；公务接待费 0 万，与去年持平；公务用车运行维护费 13 万元，与去年持 平；公务用车购置费 0 万，与去年相比减少 17.58 万。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outlineLvl w:val="1"/>
      </w:pPr>
      <w:bookmarkStart w:id="18" w:name="_Toc29032"/>
      <w:r>
        <w:rPr>
          <w:rFonts w:ascii="宋体" w:hAnsi="宋体" w:eastAsia="宋体" w:cs="宋体"/>
          <w:sz w:val="24"/>
          <w:szCs w:val="24"/>
        </w:rPr>
        <w:t>机关运行经费增减变动原因说明</w:t>
      </w:r>
      <w:bookmarkEnd w:id="18"/>
      <w:r>
        <w:rPr>
          <w:rFonts w:ascii="宋体" w:hAnsi="宋体" w:eastAsia="宋体" w:cs="宋体"/>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pPr>
      <w:r>
        <w:rPr>
          <w:rFonts w:ascii="宋体" w:hAnsi="宋体" w:eastAsia="宋体" w:cs="宋体"/>
          <w:sz w:val="24"/>
          <w:szCs w:val="24"/>
        </w:rPr>
        <w:t>本单位 2021 年所属行政参公单位的机关运行经费财政 拨款预算</w:t>
      </w:r>
      <w:r>
        <w:rPr>
          <w:rFonts w:hint="eastAsia" w:ascii="宋体" w:hAnsi="宋体" w:eastAsia="宋体" w:cs="宋体"/>
          <w:sz w:val="24"/>
          <w:szCs w:val="24"/>
          <w:lang w:val="en-US" w:eastAsia="zh-CN"/>
        </w:rPr>
        <w:t>94.24</w:t>
      </w:r>
      <w:r>
        <w:rPr>
          <w:rFonts w:ascii="宋体" w:hAnsi="宋体" w:eastAsia="宋体" w:cs="宋体"/>
          <w:sz w:val="24"/>
          <w:szCs w:val="24"/>
        </w:rPr>
        <w:t>万元，比2020年预算持平。</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outlineLvl w:val="1"/>
        <w:rPr>
          <w:rFonts w:ascii="宋体" w:hAnsi="宋体" w:eastAsia="宋体" w:cs="宋体"/>
          <w:sz w:val="24"/>
          <w:szCs w:val="24"/>
        </w:rPr>
      </w:pPr>
      <w:bookmarkStart w:id="19" w:name="_Toc26500"/>
      <w:r>
        <w:rPr>
          <w:rFonts w:ascii="宋体" w:hAnsi="宋体" w:eastAsia="宋体" w:cs="宋体"/>
          <w:sz w:val="24"/>
          <w:szCs w:val="24"/>
        </w:rPr>
        <w:t>政府采购情况</w:t>
      </w:r>
      <w:bookmarkEnd w:id="19"/>
      <w:r>
        <w:rPr>
          <w:rFonts w:ascii="宋体" w:hAnsi="宋体" w:eastAsia="宋体" w:cs="宋体"/>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sz w:val="24"/>
          <w:szCs w:val="24"/>
        </w:rPr>
      </w:pPr>
      <w:r>
        <w:rPr>
          <w:rFonts w:ascii="宋体" w:hAnsi="宋体" w:eastAsia="宋体" w:cs="宋体"/>
          <w:sz w:val="24"/>
          <w:szCs w:val="24"/>
        </w:rPr>
        <w:t>2021 年本政府采购预算总额19.48万元，其中：政府采购货物预算11万元、政府采购工程预算0万元、政府采购服务预算8.48万元。</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outlineLvl w:val="1"/>
        <w:rPr>
          <w:rFonts w:ascii="宋体" w:hAnsi="宋体" w:eastAsia="宋体" w:cs="宋体"/>
          <w:sz w:val="24"/>
          <w:szCs w:val="24"/>
        </w:rPr>
      </w:pPr>
      <w:bookmarkStart w:id="20" w:name="_Toc24837"/>
      <w:r>
        <w:rPr>
          <w:rFonts w:ascii="宋体" w:hAnsi="宋体" w:eastAsia="宋体" w:cs="宋体"/>
          <w:sz w:val="24"/>
          <w:szCs w:val="24"/>
        </w:rPr>
        <w:t>绩效管理情况</w:t>
      </w:r>
      <w:bookmarkEnd w:id="20"/>
    </w:p>
    <w:p>
      <w:pPr>
        <w:rPr>
          <w:rFonts w:ascii="宋体" w:hAnsi="宋体" w:eastAsia="宋体" w:cs="宋体"/>
          <w:sz w:val="24"/>
          <w:szCs w:val="24"/>
        </w:rPr>
      </w:pPr>
      <w:r>
        <w:rPr>
          <w:rFonts w:ascii="宋体" w:hAnsi="宋体" w:eastAsia="宋体" w:cs="宋体"/>
          <w:sz w:val="24"/>
          <w:szCs w:val="24"/>
        </w:rPr>
        <w:br w:type="page"/>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outlineLvl w:val="1"/>
        <w:rPr>
          <w:rFonts w:ascii="宋体" w:hAnsi="宋体" w:eastAsia="宋体" w:cs="宋体"/>
          <w:sz w:val="24"/>
          <w:szCs w:val="24"/>
        </w:rPr>
        <w:sectPr>
          <w:footerReference r:id="rId3" w:type="default"/>
          <w:pgSz w:w="11906" w:h="16838"/>
          <w:pgMar w:top="1440" w:right="1800" w:bottom="1440" w:left="1800" w:header="851" w:footer="992" w:gutter="0"/>
          <w:pgNumType w:fmt="decimal" w:start="1"/>
          <w:cols w:space="425" w:num="1"/>
          <w:docGrid w:type="lines" w:linePitch="312" w:charSpace="0"/>
        </w:sectPr>
      </w:pPr>
    </w:p>
    <w:tbl>
      <w:tblPr>
        <w:tblStyle w:val="6"/>
        <w:tblW w:w="14688" w:type="dxa"/>
        <w:jc w:val="center"/>
        <w:tblLayout w:type="fixed"/>
        <w:tblCellMar>
          <w:top w:w="0" w:type="dxa"/>
          <w:left w:w="0" w:type="dxa"/>
          <w:bottom w:w="0" w:type="dxa"/>
          <w:right w:w="0" w:type="dxa"/>
        </w:tblCellMar>
      </w:tblPr>
      <w:tblGrid>
        <w:gridCol w:w="974"/>
        <w:gridCol w:w="1094"/>
        <w:gridCol w:w="1380"/>
        <w:gridCol w:w="2955"/>
        <w:gridCol w:w="2009"/>
        <w:gridCol w:w="1050"/>
        <w:gridCol w:w="2055"/>
        <w:gridCol w:w="2475"/>
        <w:gridCol w:w="696"/>
      </w:tblGrid>
      <w:tr>
        <w:tblPrEx>
          <w:tblCellMar>
            <w:top w:w="0" w:type="dxa"/>
            <w:left w:w="0" w:type="dxa"/>
            <w:bottom w:w="0" w:type="dxa"/>
            <w:right w:w="0" w:type="dxa"/>
          </w:tblCellMar>
        </w:tblPrEx>
        <w:trPr>
          <w:trHeight w:val="492" w:hRule="atLeast"/>
          <w:jc w:val="center"/>
        </w:trPr>
        <w:tc>
          <w:tcPr>
            <w:tcW w:w="14688" w:type="dxa"/>
            <w:gridSpan w:val="9"/>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16"/>
                <w:szCs w:val="16"/>
                <w:u w:val="none"/>
                <w:lang w:val="en-US"/>
              </w:rPr>
            </w:pPr>
            <w:r>
              <w:rPr>
                <w:rFonts w:hint="eastAsia" w:ascii="宋体" w:hAnsi="宋体" w:eastAsia="宋体" w:cs="宋体"/>
                <w:b/>
                <w:i w:val="0"/>
                <w:color w:val="000000"/>
                <w:kern w:val="0"/>
                <w:sz w:val="16"/>
                <w:szCs w:val="16"/>
                <w:u w:val="none"/>
                <w:lang w:val="en-US" w:eastAsia="zh-CN" w:bidi="ar"/>
              </w:rPr>
              <w:t xml:space="preserve">                                                              山西省省级预算部门（单位）项目支出绩效目标申报表                                                              表1 </w:t>
            </w:r>
          </w:p>
        </w:tc>
      </w:tr>
      <w:tr>
        <w:tblPrEx>
          <w:tblCellMar>
            <w:top w:w="0" w:type="dxa"/>
            <w:left w:w="0" w:type="dxa"/>
            <w:bottom w:w="0" w:type="dxa"/>
            <w:right w:w="0" w:type="dxa"/>
          </w:tblCellMar>
        </w:tblPrEx>
        <w:trPr>
          <w:trHeight w:val="457" w:hRule="atLeast"/>
          <w:jc w:val="center"/>
        </w:trPr>
        <w:tc>
          <w:tcPr>
            <w:tcW w:w="14688" w:type="dxa"/>
            <w:gridSpan w:val="9"/>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2021年度</w:t>
            </w:r>
          </w:p>
        </w:tc>
      </w:tr>
      <w:tr>
        <w:tblPrEx>
          <w:tblCellMar>
            <w:top w:w="0" w:type="dxa"/>
            <w:left w:w="0" w:type="dxa"/>
            <w:bottom w:w="0" w:type="dxa"/>
            <w:right w:w="0" w:type="dxa"/>
          </w:tblCellMar>
        </w:tblPrEx>
        <w:trPr>
          <w:trHeight w:val="240" w:hRule="atLeast"/>
          <w:jc w:val="center"/>
        </w:trPr>
        <w:tc>
          <w:tcPr>
            <w:tcW w:w="3448" w:type="dxa"/>
            <w:gridSpan w:val="3"/>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项目名称</w:t>
            </w:r>
          </w:p>
        </w:tc>
        <w:tc>
          <w:tcPr>
            <w:tcW w:w="11240" w:type="dxa"/>
            <w:gridSpan w:val="6"/>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新增项目1—档案室</w:t>
            </w:r>
          </w:p>
        </w:tc>
      </w:tr>
      <w:tr>
        <w:tblPrEx>
          <w:tblCellMar>
            <w:top w:w="0" w:type="dxa"/>
            <w:left w:w="0" w:type="dxa"/>
            <w:bottom w:w="0" w:type="dxa"/>
            <w:right w:w="0" w:type="dxa"/>
          </w:tblCellMar>
        </w:tblPrEx>
        <w:trPr>
          <w:trHeight w:val="220" w:hRule="atLeast"/>
          <w:jc w:val="center"/>
        </w:trPr>
        <w:tc>
          <w:tcPr>
            <w:tcW w:w="3448"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主管部门及代码</w:t>
            </w:r>
          </w:p>
        </w:tc>
        <w:tc>
          <w:tcPr>
            <w:tcW w:w="4964"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大同市新荣区人民检察院-505002005</w:t>
            </w:r>
          </w:p>
        </w:tc>
        <w:tc>
          <w:tcPr>
            <w:tcW w:w="310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实施单位</w:t>
            </w:r>
          </w:p>
        </w:tc>
        <w:tc>
          <w:tcPr>
            <w:tcW w:w="3171"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大同市新荣区人民检察院机关</w:t>
            </w:r>
          </w:p>
        </w:tc>
      </w:tr>
      <w:tr>
        <w:tblPrEx>
          <w:tblCellMar>
            <w:top w:w="0" w:type="dxa"/>
            <w:left w:w="0" w:type="dxa"/>
            <w:bottom w:w="0" w:type="dxa"/>
            <w:right w:w="0" w:type="dxa"/>
          </w:tblCellMar>
        </w:tblPrEx>
        <w:trPr>
          <w:trHeight w:val="260" w:hRule="atLeast"/>
          <w:jc w:val="center"/>
        </w:trPr>
        <w:tc>
          <w:tcPr>
            <w:tcW w:w="3448"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项目属性</w:t>
            </w:r>
          </w:p>
        </w:tc>
        <w:tc>
          <w:tcPr>
            <w:tcW w:w="4964"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新增项目</w:t>
            </w:r>
          </w:p>
        </w:tc>
        <w:tc>
          <w:tcPr>
            <w:tcW w:w="310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项目期</w:t>
            </w:r>
          </w:p>
        </w:tc>
        <w:tc>
          <w:tcPr>
            <w:tcW w:w="3171"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1年</w:t>
            </w:r>
          </w:p>
        </w:tc>
      </w:tr>
      <w:tr>
        <w:tblPrEx>
          <w:tblCellMar>
            <w:top w:w="0" w:type="dxa"/>
            <w:left w:w="0" w:type="dxa"/>
            <w:bottom w:w="0" w:type="dxa"/>
            <w:right w:w="0" w:type="dxa"/>
          </w:tblCellMar>
        </w:tblPrEx>
        <w:trPr>
          <w:trHeight w:val="320" w:hRule="atLeast"/>
          <w:jc w:val="center"/>
        </w:trPr>
        <w:tc>
          <w:tcPr>
            <w:tcW w:w="3448" w:type="dxa"/>
            <w:gridSpan w:val="3"/>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项目资金</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（万元）</w:t>
            </w:r>
          </w:p>
        </w:tc>
        <w:tc>
          <w:tcPr>
            <w:tcW w:w="29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实施期资金总额：</w:t>
            </w:r>
          </w:p>
        </w:tc>
        <w:tc>
          <w:tcPr>
            <w:tcW w:w="200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w:t>
            </w:r>
          </w:p>
        </w:tc>
        <w:tc>
          <w:tcPr>
            <w:tcW w:w="310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年度资金总额：</w:t>
            </w:r>
          </w:p>
        </w:tc>
        <w:tc>
          <w:tcPr>
            <w:tcW w:w="3171"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50.0</w:t>
            </w:r>
          </w:p>
        </w:tc>
      </w:tr>
      <w:tr>
        <w:tblPrEx>
          <w:tblCellMar>
            <w:top w:w="0" w:type="dxa"/>
            <w:left w:w="0" w:type="dxa"/>
            <w:bottom w:w="0" w:type="dxa"/>
            <w:right w:w="0" w:type="dxa"/>
          </w:tblCellMar>
        </w:tblPrEx>
        <w:trPr>
          <w:trHeight w:val="260" w:hRule="atLeast"/>
          <w:jc w:val="center"/>
        </w:trPr>
        <w:tc>
          <w:tcPr>
            <w:tcW w:w="3448" w:type="dxa"/>
            <w:gridSpan w:val="3"/>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16"/>
                <w:szCs w:val="16"/>
                <w:u w:val="none"/>
              </w:rPr>
            </w:pPr>
          </w:p>
        </w:tc>
        <w:tc>
          <w:tcPr>
            <w:tcW w:w="29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其中：中央财政资金</w:t>
            </w:r>
          </w:p>
        </w:tc>
        <w:tc>
          <w:tcPr>
            <w:tcW w:w="200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w:t>
            </w:r>
          </w:p>
        </w:tc>
        <w:tc>
          <w:tcPr>
            <w:tcW w:w="310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其中：中央财政资金</w:t>
            </w:r>
          </w:p>
        </w:tc>
        <w:tc>
          <w:tcPr>
            <w:tcW w:w="3171"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w:t>
            </w:r>
          </w:p>
        </w:tc>
      </w:tr>
      <w:tr>
        <w:tblPrEx>
          <w:tblCellMar>
            <w:top w:w="0" w:type="dxa"/>
            <w:left w:w="0" w:type="dxa"/>
            <w:bottom w:w="0" w:type="dxa"/>
            <w:right w:w="0" w:type="dxa"/>
          </w:tblCellMar>
        </w:tblPrEx>
        <w:trPr>
          <w:trHeight w:val="240" w:hRule="atLeast"/>
          <w:jc w:val="center"/>
        </w:trPr>
        <w:tc>
          <w:tcPr>
            <w:tcW w:w="3448" w:type="dxa"/>
            <w:gridSpan w:val="3"/>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16"/>
                <w:szCs w:val="16"/>
                <w:u w:val="none"/>
              </w:rPr>
            </w:pPr>
          </w:p>
        </w:tc>
        <w:tc>
          <w:tcPr>
            <w:tcW w:w="29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省级财政资金</w:t>
            </w:r>
          </w:p>
        </w:tc>
        <w:tc>
          <w:tcPr>
            <w:tcW w:w="200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50.0</w:t>
            </w:r>
          </w:p>
        </w:tc>
        <w:tc>
          <w:tcPr>
            <w:tcW w:w="310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省级财政资金</w:t>
            </w:r>
          </w:p>
        </w:tc>
        <w:tc>
          <w:tcPr>
            <w:tcW w:w="3171"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16"/>
                <w:szCs w:val="16"/>
                <w:u w:val="none"/>
                <w:lang w:val="en-US"/>
              </w:rPr>
            </w:pPr>
            <w:r>
              <w:rPr>
                <w:rFonts w:hint="eastAsia" w:ascii="宋体" w:hAnsi="宋体" w:eastAsia="宋体" w:cs="宋体"/>
                <w:i w:val="0"/>
                <w:color w:val="000000"/>
                <w:kern w:val="0"/>
                <w:sz w:val="16"/>
                <w:szCs w:val="16"/>
                <w:u w:val="none"/>
                <w:lang w:val="en-US" w:eastAsia="zh-CN" w:bidi="ar"/>
              </w:rPr>
              <w:t>50.0</w:t>
            </w:r>
          </w:p>
        </w:tc>
      </w:tr>
      <w:tr>
        <w:tblPrEx>
          <w:tblCellMar>
            <w:top w:w="0" w:type="dxa"/>
            <w:left w:w="0" w:type="dxa"/>
            <w:bottom w:w="0" w:type="dxa"/>
            <w:right w:w="0" w:type="dxa"/>
          </w:tblCellMar>
        </w:tblPrEx>
        <w:trPr>
          <w:trHeight w:val="300" w:hRule="atLeast"/>
          <w:jc w:val="center"/>
        </w:trPr>
        <w:tc>
          <w:tcPr>
            <w:tcW w:w="3448" w:type="dxa"/>
            <w:gridSpan w:val="3"/>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16"/>
                <w:szCs w:val="16"/>
                <w:u w:val="none"/>
              </w:rPr>
            </w:pPr>
          </w:p>
        </w:tc>
        <w:tc>
          <w:tcPr>
            <w:tcW w:w="29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市县（区）财政资金</w:t>
            </w:r>
          </w:p>
        </w:tc>
        <w:tc>
          <w:tcPr>
            <w:tcW w:w="200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w:t>
            </w:r>
          </w:p>
        </w:tc>
        <w:tc>
          <w:tcPr>
            <w:tcW w:w="310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市县（区）财政资金</w:t>
            </w:r>
          </w:p>
        </w:tc>
        <w:tc>
          <w:tcPr>
            <w:tcW w:w="3171"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w:t>
            </w:r>
          </w:p>
        </w:tc>
      </w:tr>
      <w:tr>
        <w:tblPrEx>
          <w:tblCellMar>
            <w:top w:w="0" w:type="dxa"/>
            <w:left w:w="0" w:type="dxa"/>
            <w:bottom w:w="0" w:type="dxa"/>
            <w:right w:w="0" w:type="dxa"/>
          </w:tblCellMar>
        </w:tblPrEx>
        <w:trPr>
          <w:trHeight w:val="300" w:hRule="atLeast"/>
          <w:jc w:val="center"/>
        </w:trPr>
        <w:tc>
          <w:tcPr>
            <w:tcW w:w="3448" w:type="dxa"/>
            <w:gridSpan w:val="3"/>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16"/>
                <w:szCs w:val="16"/>
                <w:u w:val="none"/>
              </w:rPr>
            </w:pPr>
          </w:p>
        </w:tc>
        <w:tc>
          <w:tcPr>
            <w:tcW w:w="29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其他资金</w:t>
            </w:r>
          </w:p>
        </w:tc>
        <w:tc>
          <w:tcPr>
            <w:tcW w:w="2009"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w:t>
            </w:r>
          </w:p>
        </w:tc>
        <w:tc>
          <w:tcPr>
            <w:tcW w:w="3105"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其他资金</w:t>
            </w:r>
          </w:p>
        </w:tc>
        <w:tc>
          <w:tcPr>
            <w:tcW w:w="3171"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w:t>
            </w:r>
          </w:p>
        </w:tc>
      </w:tr>
      <w:tr>
        <w:tblPrEx>
          <w:tblCellMar>
            <w:top w:w="0" w:type="dxa"/>
            <w:left w:w="0" w:type="dxa"/>
            <w:bottom w:w="0" w:type="dxa"/>
            <w:right w:w="0" w:type="dxa"/>
          </w:tblCellMar>
        </w:tblPrEx>
        <w:trPr>
          <w:trHeight w:val="1160" w:hRule="atLeast"/>
          <w:jc w:val="center"/>
        </w:trPr>
        <w:tc>
          <w:tcPr>
            <w:tcW w:w="3448"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项目概况</w:t>
            </w:r>
          </w:p>
        </w:tc>
        <w:tc>
          <w:tcPr>
            <w:tcW w:w="11240" w:type="dxa"/>
            <w:gridSpan w:val="6"/>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我院档案室自2010年建成投入使用，已有10年之久，现出现地面下陷，承重墙裂缝等安全隐患，需进行整体修缮加固，以达到国家级档案室标准。且目前档案管理局限于线下纸质登记归档，远远不能满足新时期档案工作规范化、现代化的需要，亟需配备各类档案软件及硬件，对全院档案进行全面的整理、著录、扫描，形成电子档案。为了满足国家及省级档案管理验收要求，实现档案的实际应用，2021年对档案室进行全方位的改造建设，增设软硬件，制作电子档案。</w:t>
            </w:r>
          </w:p>
          <w:p>
            <w:pPr>
              <w:keepNext w:val="0"/>
              <w:keepLines w:val="0"/>
              <w:widowControl/>
              <w:suppressLineNumbers w:val="0"/>
              <w:jc w:val="left"/>
              <w:textAlignment w:val="center"/>
              <w:rPr>
                <w:rFonts w:hint="default" w:ascii="宋体" w:hAnsi="宋体" w:eastAsia="宋体" w:cs="宋体"/>
                <w:i w:val="0"/>
                <w:color w:val="000000"/>
                <w:kern w:val="0"/>
                <w:sz w:val="16"/>
                <w:szCs w:val="16"/>
                <w:u w:val="none"/>
                <w:lang w:val="en-US" w:eastAsia="zh-CN" w:bidi="ar"/>
              </w:rPr>
            </w:pPr>
          </w:p>
        </w:tc>
      </w:tr>
      <w:tr>
        <w:tblPrEx>
          <w:tblCellMar>
            <w:top w:w="0" w:type="dxa"/>
            <w:left w:w="0" w:type="dxa"/>
            <w:bottom w:w="0" w:type="dxa"/>
            <w:right w:w="0" w:type="dxa"/>
          </w:tblCellMar>
        </w:tblPrEx>
        <w:trPr>
          <w:trHeight w:val="380" w:hRule="atLeast"/>
          <w:jc w:val="center"/>
        </w:trPr>
        <w:tc>
          <w:tcPr>
            <w:tcW w:w="3448"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立项依据</w:t>
            </w:r>
          </w:p>
        </w:tc>
        <w:tc>
          <w:tcPr>
            <w:tcW w:w="11240" w:type="dxa"/>
            <w:gridSpan w:val="6"/>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top"/>
          </w:tcPr>
          <w:p>
            <w:pPr>
              <w:keepNext w:val="0"/>
              <w:keepLines w:val="0"/>
              <w:widowControl/>
              <w:suppressLineNumbers w:val="0"/>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全国检察机关诉讼档案归档工作电视电话会议精神和张军检察长重要批示</w:t>
            </w:r>
          </w:p>
          <w:p>
            <w:pPr>
              <w:keepNext w:val="0"/>
              <w:keepLines w:val="0"/>
              <w:widowControl/>
              <w:suppressLineNumbers w:val="0"/>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省市检察机关关于诉讼档案清查专项整治活动的通知</w:t>
            </w:r>
          </w:p>
          <w:p>
            <w:pPr>
              <w:keepNext w:val="0"/>
              <w:keepLines w:val="0"/>
              <w:widowControl/>
              <w:suppressLineNumbers w:val="0"/>
              <w:jc w:val="left"/>
              <w:textAlignment w:val="top"/>
              <w:rPr>
                <w:rFonts w:hint="eastAsia" w:ascii="宋体" w:hAnsi="宋体" w:eastAsia="宋体" w:cs="宋体"/>
                <w:i w:val="0"/>
                <w:color w:val="000000"/>
                <w:sz w:val="16"/>
                <w:szCs w:val="16"/>
                <w:u w:val="none"/>
              </w:rPr>
            </w:pPr>
          </w:p>
        </w:tc>
      </w:tr>
      <w:tr>
        <w:tblPrEx>
          <w:tblCellMar>
            <w:top w:w="0" w:type="dxa"/>
            <w:left w:w="0" w:type="dxa"/>
            <w:bottom w:w="0" w:type="dxa"/>
            <w:right w:w="0" w:type="dxa"/>
          </w:tblCellMar>
        </w:tblPrEx>
        <w:trPr>
          <w:trHeight w:val="260" w:hRule="atLeast"/>
          <w:jc w:val="center"/>
        </w:trPr>
        <w:tc>
          <w:tcPr>
            <w:tcW w:w="3448"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项目设立必要性</w:t>
            </w:r>
          </w:p>
        </w:tc>
        <w:tc>
          <w:tcPr>
            <w:tcW w:w="11240" w:type="dxa"/>
            <w:gridSpan w:val="6"/>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top"/>
          </w:tcPr>
          <w:p>
            <w:pPr>
              <w:keepNext w:val="0"/>
              <w:keepLines w:val="0"/>
              <w:widowControl/>
              <w:suppressLineNumbers w:val="0"/>
              <w:jc w:val="left"/>
              <w:textAlignment w:val="top"/>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我院档案室自2010年建成投入使用，已有10年之久，现出现地面下陷，承重墙裂缝等安全隐患，需进行整体修缮加固，以达到国家级档案室标准。且目前档案管理局限于线下纸质登记归档，远远不能满足新时期档案工作规范化、现代化的需要，亟需配备各类档案软件及硬件，对全院档案进行全面的整理、著录、扫描，形成电子档案。为了满足国家及省级档案管理验收要求，实现档案的实际应用，2021年对档案室进行全方位的改造建设，增设软硬件，制作电子档案</w:t>
            </w:r>
            <w:r>
              <w:rPr>
                <w:rFonts w:hint="eastAsia"/>
              </w:rPr>
              <w:t>。</w:t>
            </w:r>
          </w:p>
        </w:tc>
      </w:tr>
      <w:tr>
        <w:tblPrEx>
          <w:tblCellMar>
            <w:top w:w="0" w:type="dxa"/>
            <w:left w:w="0" w:type="dxa"/>
            <w:bottom w:w="0" w:type="dxa"/>
            <w:right w:w="0" w:type="dxa"/>
          </w:tblCellMar>
        </w:tblPrEx>
        <w:trPr>
          <w:trHeight w:val="420" w:hRule="atLeast"/>
          <w:jc w:val="center"/>
        </w:trPr>
        <w:tc>
          <w:tcPr>
            <w:tcW w:w="3448"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保证项目实施的制度、措施</w:t>
            </w:r>
          </w:p>
        </w:tc>
        <w:tc>
          <w:tcPr>
            <w:tcW w:w="11240" w:type="dxa"/>
            <w:gridSpan w:val="6"/>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top"/>
          </w:tcPr>
          <w:p>
            <w:pPr>
              <w:keepNext w:val="0"/>
              <w:keepLines w:val="0"/>
              <w:widowControl/>
              <w:suppressLineNumbers w:val="0"/>
              <w:jc w:val="left"/>
              <w:textAlignment w:val="top"/>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在我院党组的统一领导下，实行“专人负责、办公室、技术各部门密切配合，分步实施”的工作机制</w:t>
            </w:r>
          </w:p>
          <w:p>
            <w:pPr>
              <w:keepNext w:val="0"/>
              <w:keepLines w:val="0"/>
              <w:widowControl/>
              <w:suppressLineNumbers w:val="0"/>
              <w:jc w:val="left"/>
              <w:textAlignment w:val="top"/>
              <w:rPr>
                <w:rFonts w:hint="eastAsia" w:ascii="宋体" w:hAnsi="宋体" w:eastAsia="宋体" w:cs="宋体"/>
                <w:i w:val="0"/>
                <w:color w:val="000000"/>
                <w:sz w:val="16"/>
                <w:szCs w:val="16"/>
                <w:u w:val="none"/>
              </w:rPr>
            </w:pPr>
          </w:p>
        </w:tc>
      </w:tr>
      <w:tr>
        <w:tblPrEx>
          <w:tblCellMar>
            <w:top w:w="0" w:type="dxa"/>
            <w:left w:w="0" w:type="dxa"/>
            <w:bottom w:w="0" w:type="dxa"/>
            <w:right w:w="0" w:type="dxa"/>
          </w:tblCellMar>
        </w:tblPrEx>
        <w:trPr>
          <w:trHeight w:val="260" w:hRule="atLeast"/>
          <w:jc w:val="center"/>
        </w:trPr>
        <w:tc>
          <w:tcPr>
            <w:tcW w:w="3448"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项目实施计划</w:t>
            </w:r>
          </w:p>
        </w:tc>
        <w:tc>
          <w:tcPr>
            <w:tcW w:w="11240" w:type="dxa"/>
            <w:gridSpan w:val="6"/>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top"/>
          </w:tcPr>
          <w:p>
            <w:pPr>
              <w:keepNext w:val="0"/>
              <w:keepLines w:val="0"/>
              <w:widowControl/>
              <w:suppressLineNumbers w:val="0"/>
              <w:jc w:val="left"/>
              <w:textAlignment w:val="top"/>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第一步用一个月的时间将诉讼档案整理、著录、扫描完毕；</w:t>
            </w:r>
          </w:p>
          <w:p>
            <w:pPr>
              <w:keepNext w:val="0"/>
              <w:keepLines w:val="0"/>
              <w:widowControl/>
              <w:suppressLineNumbers w:val="0"/>
              <w:jc w:val="left"/>
              <w:textAlignment w:val="top"/>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第二步用两个月时间将其他类档案整理、著录、扫描完毕；</w:t>
            </w:r>
          </w:p>
          <w:p>
            <w:pPr>
              <w:keepNext w:val="0"/>
              <w:keepLines w:val="0"/>
              <w:widowControl/>
              <w:suppressLineNumbers w:val="0"/>
              <w:jc w:val="left"/>
              <w:textAlignment w:val="top"/>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第三步再用两个月时间将档案室基础设施修缮加固完毕；</w:t>
            </w:r>
          </w:p>
          <w:p>
            <w:pPr>
              <w:keepNext w:val="0"/>
              <w:keepLines w:val="0"/>
              <w:widowControl/>
              <w:suppressLineNumbers w:val="0"/>
              <w:jc w:val="left"/>
              <w:textAlignment w:val="top"/>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第四步档案室的投入使用。整体项目在一年内完成。</w:t>
            </w:r>
          </w:p>
          <w:p>
            <w:pPr>
              <w:keepNext w:val="0"/>
              <w:keepLines w:val="0"/>
              <w:widowControl/>
              <w:suppressLineNumbers w:val="0"/>
              <w:jc w:val="left"/>
              <w:textAlignment w:val="top"/>
              <w:rPr>
                <w:rFonts w:hint="eastAsia" w:ascii="宋体" w:hAnsi="宋体" w:eastAsia="宋体" w:cs="宋体"/>
                <w:i w:val="0"/>
                <w:color w:val="000000"/>
                <w:sz w:val="16"/>
                <w:szCs w:val="16"/>
                <w:u w:val="none"/>
              </w:rPr>
            </w:pPr>
          </w:p>
        </w:tc>
      </w:tr>
      <w:tr>
        <w:tblPrEx>
          <w:tblCellMar>
            <w:top w:w="0" w:type="dxa"/>
            <w:left w:w="0" w:type="dxa"/>
            <w:bottom w:w="0" w:type="dxa"/>
            <w:right w:w="0" w:type="dxa"/>
          </w:tblCellMar>
        </w:tblPrEx>
        <w:trPr>
          <w:trHeight w:val="260" w:hRule="atLeast"/>
          <w:jc w:val="center"/>
        </w:trPr>
        <w:tc>
          <w:tcPr>
            <w:tcW w:w="14688" w:type="dxa"/>
            <w:gridSpan w:val="9"/>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bottom"/>
          </w:tcPr>
          <w:p>
            <w:pPr>
              <w:jc w:val="center"/>
              <w:rPr>
                <w:rFonts w:hint="eastAsia" w:ascii="宋体" w:hAnsi="宋体" w:eastAsia="宋体" w:cs="宋体"/>
                <w:i w:val="0"/>
                <w:color w:val="000000"/>
                <w:sz w:val="16"/>
                <w:szCs w:val="16"/>
                <w:u w:val="none"/>
              </w:rPr>
            </w:pPr>
          </w:p>
        </w:tc>
      </w:tr>
      <w:tr>
        <w:tblPrEx>
          <w:tblCellMar>
            <w:top w:w="0" w:type="dxa"/>
            <w:left w:w="0" w:type="dxa"/>
            <w:bottom w:w="0" w:type="dxa"/>
            <w:right w:w="0" w:type="dxa"/>
          </w:tblCellMar>
        </w:tblPrEx>
        <w:trPr>
          <w:trHeight w:val="320" w:hRule="atLeast"/>
          <w:jc w:val="center"/>
        </w:trPr>
        <w:tc>
          <w:tcPr>
            <w:tcW w:w="9462" w:type="dxa"/>
            <w:gridSpan w:val="6"/>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实施期目标</w:t>
            </w:r>
          </w:p>
        </w:tc>
        <w:tc>
          <w:tcPr>
            <w:tcW w:w="5226"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年度目标</w:t>
            </w:r>
          </w:p>
        </w:tc>
      </w:tr>
      <w:tr>
        <w:tblPrEx>
          <w:tblCellMar>
            <w:top w:w="0" w:type="dxa"/>
            <w:left w:w="0" w:type="dxa"/>
            <w:bottom w:w="0" w:type="dxa"/>
            <w:right w:w="0" w:type="dxa"/>
          </w:tblCellMar>
        </w:tblPrEx>
        <w:trPr>
          <w:trHeight w:val="1580" w:hRule="atLeast"/>
          <w:jc w:val="center"/>
        </w:trPr>
        <w:tc>
          <w:tcPr>
            <w:tcW w:w="974" w:type="dxa"/>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总体目标</w:t>
            </w:r>
          </w:p>
        </w:tc>
        <w:tc>
          <w:tcPr>
            <w:tcW w:w="8488" w:type="dxa"/>
            <w:gridSpan w:val="5"/>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000000"/>
                <w:sz w:val="16"/>
                <w:szCs w:val="16"/>
                <w:u w:val="none"/>
                <w:lang w:val="en-US"/>
              </w:rPr>
            </w:pPr>
            <w:r>
              <w:rPr>
                <w:rFonts w:hint="eastAsia" w:ascii="宋体" w:hAnsi="宋体" w:eastAsia="宋体" w:cs="宋体"/>
                <w:i w:val="0"/>
                <w:color w:val="000000"/>
                <w:kern w:val="0"/>
                <w:sz w:val="16"/>
                <w:szCs w:val="16"/>
                <w:u w:val="none"/>
                <w:lang w:val="en-US" w:eastAsia="zh-CN" w:bidi="ar"/>
              </w:rPr>
              <w:t>满足档案管理规范化、现代化要求，投入实际应用，完善档案室基础性设施以及保证软件设备配置齐全。</w:t>
            </w:r>
          </w:p>
        </w:tc>
        <w:tc>
          <w:tcPr>
            <w:tcW w:w="5226" w:type="dxa"/>
            <w:gridSpan w:val="3"/>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满足档案管理规范化、现代化要求，投入实际应用，完善档案室基础性设施以及保证软件设备配置齐全</w:t>
            </w:r>
          </w:p>
        </w:tc>
      </w:tr>
      <w:tr>
        <w:tblPrEx>
          <w:tblCellMar>
            <w:top w:w="0" w:type="dxa"/>
            <w:left w:w="0" w:type="dxa"/>
            <w:bottom w:w="0" w:type="dxa"/>
            <w:right w:w="0" w:type="dxa"/>
          </w:tblCellMar>
        </w:tblPrEx>
        <w:trPr>
          <w:trHeight w:val="360" w:hRule="atLeast"/>
          <w:jc w:val="center"/>
        </w:trPr>
        <w:tc>
          <w:tcPr>
            <w:tcW w:w="974" w:type="dxa"/>
            <w:tcBorders>
              <w:top w:val="nil"/>
              <w:left w:val="nil"/>
              <w:bottom w:val="nil"/>
              <w:right w:val="nil"/>
            </w:tcBorders>
            <w:noWrap w:val="0"/>
            <w:tcMar>
              <w:top w:w="12" w:type="dxa"/>
              <w:left w:w="12" w:type="dxa"/>
              <w:right w:w="12" w:type="dxa"/>
            </w:tcMar>
            <w:vAlign w:val="center"/>
          </w:tcPr>
          <w:p>
            <w:pPr>
              <w:rPr>
                <w:rFonts w:hint="eastAsia" w:ascii="宋体" w:hAnsi="宋体" w:eastAsia="宋体" w:cs="宋体"/>
                <w:i w:val="0"/>
                <w:color w:val="000000"/>
                <w:sz w:val="16"/>
                <w:szCs w:val="16"/>
                <w:u w:val="none"/>
              </w:rPr>
            </w:pPr>
          </w:p>
        </w:tc>
        <w:tc>
          <w:tcPr>
            <w:tcW w:w="1094"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一级指标</w:t>
            </w:r>
          </w:p>
        </w:tc>
        <w:tc>
          <w:tcPr>
            <w:tcW w:w="138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二级指标</w:t>
            </w:r>
          </w:p>
        </w:tc>
        <w:tc>
          <w:tcPr>
            <w:tcW w:w="29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三级指标</w:t>
            </w:r>
          </w:p>
        </w:tc>
        <w:tc>
          <w:tcPr>
            <w:tcW w:w="3059"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指标值</w:t>
            </w:r>
          </w:p>
        </w:tc>
        <w:tc>
          <w:tcPr>
            <w:tcW w:w="20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二级指标</w:t>
            </w:r>
          </w:p>
        </w:tc>
        <w:tc>
          <w:tcPr>
            <w:tcW w:w="24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指标值</w:t>
            </w:r>
          </w:p>
        </w:tc>
      </w:tr>
      <w:tr>
        <w:tblPrEx>
          <w:tblCellMar>
            <w:top w:w="0" w:type="dxa"/>
            <w:left w:w="0" w:type="dxa"/>
            <w:bottom w:w="0" w:type="dxa"/>
            <w:right w:w="0" w:type="dxa"/>
          </w:tblCellMar>
        </w:tblPrEx>
        <w:trPr>
          <w:trHeight w:val="340" w:hRule="atLeast"/>
          <w:jc w:val="center"/>
        </w:trPr>
        <w:tc>
          <w:tcPr>
            <w:tcW w:w="974" w:type="dxa"/>
            <w:vMerge w:val="restart"/>
            <w:tcBorders>
              <w:top w:val="single" w:color="000000" w:sz="4" w:space="0"/>
              <w:left w:val="single" w:color="000000" w:sz="4" w:space="0"/>
              <w:bottom w:val="nil"/>
              <w:right w:val="single" w:color="000000" w:sz="4" w:space="0"/>
            </w:tcBorders>
            <w:shd w:val="clear" w:color="auto" w:fill="auto"/>
            <w:noWrap w:val="0"/>
            <w:tcMar>
              <w:top w:w="12" w:type="dxa"/>
              <w:left w:w="12" w:type="dxa"/>
              <w:right w:w="12" w:type="dxa"/>
            </w:tcMar>
            <w:textDirection w:val="tbRlV"/>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绩效指标</w:t>
            </w:r>
          </w:p>
        </w:tc>
        <w:tc>
          <w:tcPr>
            <w:tcW w:w="109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textDirection w:val="tbRlV"/>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产出指标</w:t>
            </w: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数量指标</w:t>
            </w:r>
          </w:p>
        </w:tc>
        <w:tc>
          <w:tcPr>
            <w:tcW w:w="29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default" w:ascii="宋体" w:hAnsi="宋体" w:eastAsia="宋体" w:cs="宋体"/>
                <w:i w:val="0"/>
                <w:color w:val="333333"/>
                <w:sz w:val="16"/>
                <w:szCs w:val="16"/>
                <w:u w:val="none"/>
                <w:lang w:val="en-US"/>
              </w:rPr>
            </w:pPr>
            <w:r>
              <w:rPr>
                <w:rFonts w:hint="eastAsia" w:ascii="宋体" w:hAnsi="宋体" w:eastAsia="宋体" w:cs="宋体"/>
                <w:i w:val="0"/>
                <w:color w:val="333333"/>
                <w:kern w:val="0"/>
                <w:sz w:val="16"/>
                <w:szCs w:val="16"/>
                <w:u w:val="none"/>
                <w:lang w:val="en-US" w:eastAsia="zh-CN" w:bidi="ar"/>
              </w:rPr>
              <w:t>档案室建设面积</w:t>
            </w: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333333"/>
                <w:sz w:val="16"/>
                <w:szCs w:val="16"/>
                <w:u w:val="none"/>
                <w:lang w:val="en-US"/>
              </w:rPr>
            </w:pPr>
            <w:r>
              <w:rPr>
                <w:rFonts w:hint="eastAsia" w:ascii="宋体" w:hAnsi="宋体" w:eastAsia="宋体" w:cs="宋体"/>
                <w:i w:val="0"/>
                <w:color w:val="333333"/>
                <w:kern w:val="0"/>
                <w:sz w:val="16"/>
                <w:szCs w:val="16"/>
                <w:u w:val="none"/>
                <w:lang w:val="en-US" w:eastAsia="zh-CN" w:bidi="ar"/>
              </w:rPr>
              <w:t>58平米</w:t>
            </w:r>
          </w:p>
        </w:tc>
        <w:tc>
          <w:tcPr>
            <w:tcW w:w="20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数量指标</w:t>
            </w: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档案室建设面积</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=58平米</w:t>
            </w:r>
          </w:p>
        </w:tc>
      </w:tr>
      <w:tr>
        <w:tblPrEx>
          <w:tblCellMar>
            <w:top w:w="0" w:type="dxa"/>
            <w:left w:w="0" w:type="dxa"/>
            <w:bottom w:w="0" w:type="dxa"/>
            <w:right w:w="0" w:type="dxa"/>
          </w:tblCellMar>
        </w:tblPrEx>
        <w:trPr>
          <w:trHeight w:val="360" w:hRule="atLeast"/>
          <w:jc w:val="center"/>
        </w:trPr>
        <w:tc>
          <w:tcPr>
            <w:tcW w:w="974" w:type="dxa"/>
            <w:vMerge w:val="continue"/>
            <w:tcBorders>
              <w:top w:val="single" w:color="000000" w:sz="4" w:space="0"/>
              <w:left w:val="single" w:color="000000" w:sz="4" w:space="0"/>
              <w:bottom w:val="nil"/>
              <w:right w:val="single" w:color="000000" w:sz="4" w:space="0"/>
            </w:tcBorders>
            <w:shd w:val="clear" w:color="auto" w:fill="auto"/>
            <w:noWrap w:val="0"/>
            <w:tcMar>
              <w:top w:w="12" w:type="dxa"/>
              <w:left w:w="12" w:type="dxa"/>
              <w:right w:w="12" w:type="dxa"/>
            </w:tcMar>
            <w:textDirection w:val="tbRlV"/>
            <w:vAlign w:val="center"/>
          </w:tcPr>
          <w:p>
            <w:pPr>
              <w:rPr>
                <w:rFonts w:hint="eastAsia" w:ascii="宋体" w:hAnsi="宋体" w:eastAsia="宋体" w:cs="宋体"/>
                <w:i w:val="0"/>
                <w:color w:val="000000"/>
                <w:sz w:val="16"/>
                <w:szCs w:val="16"/>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textDirection w:val="tbRlV"/>
            <w:vAlign w:val="center"/>
          </w:tcPr>
          <w:p>
            <w:pPr>
              <w:rPr>
                <w:rFonts w:hint="eastAsia" w:ascii="宋体" w:hAnsi="宋体" w:eastAsia="宋体" w:cs="宋体"/>
                <w:i w:val="0"/>
                <w:color w:val="333333"/>
                <w:sz w:val="16"/>
                <w:szCs w:val="16"/>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质量指标</w:t>
            </w:r>
          </w:p>
        </w:tc>
        <w:tc>
          <w:tcPr>
            <w:tcW w:w="29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default" w:ascii="宋体" w:hAnsi="宋体" w:eastAsia="宋体" w:cs="宋体"/>
                <w:i w:val="0"/>
                <w:color w:val="333333"/>
                <w:sz w:val="16"/>
                <w:szCs w:val="16"/>
                <w:u w:val="none"/>
                <w:lang w:val="en-US"/>
              </w:rPr>
            </w:pPr>
            <w:r>
              <w:rPr>
                <w:rFonts w:hint="eastAsia" w:ascii="宋体" w:hAnsi="宋体" w:eastAsia="宋体" w:cs="宋体"/>
                <w:i w:val="0"/>
                <w:color w:val="333333"/>
                <w:kern w:val="0"/>
                <w:sz w:val="16"/>
                <w:szCs w:val="16"/>
                <w:u w:val="none"/>
                <w:lang w:val="en-US" w:eastAsia="zh-CN" w:bidi="ar"/>
              </w:rPr>
              <w:t>档案保存完好率</w:t>
            </w: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=100%</w:t>
            </w:r>
          </w:p>
        </w:tc>
        <w:tc>
          <w:tcPr>
            <w:tcW w:w="20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质量指标</w:t>
            </w: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档案保存完好率</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=100%</w:t>
            </w:r>
          </w:p>
        </w:tc>
      </w:tr>
      <w:tr>
        <w:tblPrEx>
          <w:tblCellMar>
            <w:top w:w="0" w:type="dxa"/>
            <w:left w:w="0" w:type="dxa"/>
            <w:bottom w:w="0" w:type="dxa"/>
            <w:right w:w="0" w:type="dxa"/>
          </w:tblCellMar>
        </w:tblPrEx>
        <w:trPr>
          <w:trHeight w:val="400" w:hRule="atLeast"/>
          <w:jc w:val="center"/>
        </w:trPr>
        <w:tc>
          <w:tcPr>
            <w:tcW w:w="974" w:type="dxa"/>
            <w:vMerge w:val="continue"/>
            <w:tcBorders>
              <w:top w:val="single" w:color="000000" w:sz="4" w:space="0"/>
              <w:left w:val="single" w:color="000000" w:sz="4" w:space="0"/>
              <w:bottom w:val="nil"/>
              <w:right w:val="single" w:color="000000" w:sz="4" w:space="0"/>
            </w:tcBorders>
            <w:shd w:val="clear" w:color="auto" w:fill="auto"/>
            <w:noWrap w:val="0"/>
            <w:tcMar>
              <w:top w:w="12" w:type="dxa"/>
              <w:left w:w="12" w:type="dxa"/>
              <w:right w:w="12" w:type="dxa"/>
            </w:tcMar>
            <w:textDirection w:val="tbRlV"/>
            <w:vAlign w:val="center"/>
          </w:tcPr>
          <w:p>
            <w:pPr>
              <w:rPr>
                <w:rFonts w:hint="eastAsia" w:ascii="宋体" w:hAnsi="宋体" w:eastAsia="宋体" w:cs="宋体"/>
                <w:i w:val="0"/>
                <w:color w:val="000000"/>
                <w:sz w:val="16"/>
                <w:szCs w:val="16"/>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textDirection w:val="tbRlV"/>
            <w:vAlign w:val="center"/>
          </w:tcPr>
          <w:p>
            <w:pPr>
              <w:rPr>
                <w:rFonts w:hint="eastAsia" w:ascii="宋体" w:hAnsi="宋体" w:eastAsia="宋体" w:cs="宋体"/>
                <w:i w:val="0"/>
                <w:color w:val="333333"/>
                <w:sz w:val="16"/>
                <w:szCs w:val="16"/>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时效指标</w:t>
            </w:r>
          </w:p>
        </w:tc>
        <w:tc>
          <w:tcPr>
            <w:tcW w:w="29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default" w:ascii="宋体" w:hAnsi="宋体" w:eastAsia="宋体" w:cs="宋体"/>
                <w:i w:val="0"/>
                <w:color w:val="333333"/>
                <w:sz w:val="16"/>
                <w:szCs w:val="16"/>
                <w:u w:val="none"/>
                <w:lang w:val="en-US"/>
              </w:rPr>
            </w:pPr>
            <w:r>
              <w:rPr>
                <w:rFonts w:hint="eastAsia" w:ascii="宋体" w:hAnsi="宋体" w:eastAsia="宋体" w:cs="宋体"/>
                <w:i w:val="0"/>
                <w:color w:val="333333"/>
                <w:kern w:val="0"/>
                <w:sz w:val="16"/>
                <w:szCs w:val="16"/>
                <w:u w:val="none"/>
                <w:lang w:val="en-US" w:eastAsia="zh-CN" w:bidi="ar"/>
              </w:rPr>
              <w:t>档案归档及时性</w:t>
            </w: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333333"/>
                <w:sz w:val="16"/>
                <w:szCs w:val="16"/>
                <w:u w:val="none"/>
                <w:lang w:val="en-US" w:eastAsia="zh-CN"/>
              </w:rPr>
            </w:pPr>
            <w:r>
              <w:rPr>
                <w:rFonts w:hint="eastAsia" w:ascii="宋体" w:hAnsi="宋体" w:eastAsia="宋体" w:cs="宋体"/>
                <w:i w:val="0"/>
                <w:color w:val="333333"/>
                <w:sz w:val="16"/>
                <w:szCs w:val="16"/>
                <w:u w:val="none"/>
                <w:lang w:val="en-US" w:eastAsia="zh-CN"/>
              </w:rPr>
              <w:t>及时保存</w:t>
            </w:r>
          </w:p>
        </w:tc>
        <w:tc>
          <w:tcPr>
            <w:tcW w:w="20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时效指标</w:t>
            </w: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档案归档及时性</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及时</w:t>
            </w:r>
          </w:p>
        </w:tc>
      </w:tr>
      <w:tr>
        <w:tblPrEx>
          <w:tblCellMar>
            <w:top w:w="0" w:type="dxa"/>
            <w:left w:w="0" w:type="dxa"/>
            <w:bottom w:w="0" w:type="dxa"/>
            <w:right w:w="0" w:type="dxa"/>
          </w:tblCellMar>
        </w:tblPrEx>
        <w:trPr>
          <w:trHeight w:val="360" w:hRule="atLeast"/>
          <w:jc w:val="center"/>
        </w:trPr>
        <w:tc>
          <w:tcPr>
            <w:tcW w:w="974" w:type="dxa"/>
            <w:vMerge w:val="continue"/>
            <w:tcBorders>
              <w:top w:val="single" w:color="000000" w:sz="4" w:space="0"/>
              <w:left w:val="single" w:color="000000" w:sz="4" w:space="0"/>
              <w:bottom w:val="nil"/>
              <w:right w:val="single" w:color="000000" w:sz="4" w:space="0"/>
            </w:tcBorders>
            <w:shd w:val="clear" w:color="auto" w:fill="auto"/>
            <w:noWrap w:val="0"/>
            <w:tcMar>
              <w:top w:w="12" w:type="dxa"/>
              <w:left w:w="12" w:type="dxa"/>
              <w:right w:w="12" w:type="dxa"/>
            </w:tcMar>
            <w:textDirection w:val="tbRlV"/>
            <w:vAlign w:val="center"/>
          </w:tcPr>
          <w:p>
            <w:pPr>
              <w:rPr>
                <w:rFonts w:hint="eastAsia" w:ascii="宋体" w:hAnsi="宋体" w:eastAsia="宋体" w:cs="宋体"/>
                <w:i w:val="0"/>
                <w:color w:val="000000"/>
                <w:sz w:val="16"/>
                <w:szCs w:val="16"/>
                <w:u w:val="none"/>
              </w:rPr>
            </w:pPr>
          </w:p>
        </w:tc>
        <w:tc>
          <w:tcPr>
            <w:tcW w:w="109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textDirection w:val="tbRlV"/>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效益指标</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社会效益</w:t>
            </w:r>
          </w:p>
        </w:tc>
        <w:tc>
          <w:tcPr>
            <w:tcW w:w="29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default" w:ascii="宋体" w:hAnsi="宋体" w:eastAsia="宋体" w:cs="宋体"/>
                <w:i w:val="0"/>
                <w:color w:val="333333"/>
                <w:sz w:val="16"/>
                <w:szCs w:val="16"/>
                <w:u w:val="none"/>
                <w:lang w:val="en-US" w:eastAsia="zh-CN"/>
              </w:rPr>
            </w:pPr>
            <w:r>
              <w:rPr>
                <w:rFonts w:hint="eastAsia" w:ascii="宋体" w:hAnsi="宋体" w:eastAsia="宋体" w:cs="宋体"/>
                <w:i w:val="0"/>
                <w:color w:val="333333"/>
                <w:sz w:val="16"/>
                <w:szCs w:val="16"/>
                <w:u w:val="none"/>
                <w:lang w:val="en-US" w:eastAsia="zh-CN"/>
              </w:rPr>
              <w:t>达到国家级档案室标准</w:t>
            </w: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sz w:val="16"/>
                <w:szCs w:val="16"/>
                <w:u w:val="none"/>
                <w:lang w:val="en-US" w:eastAsia="zh-CN"/>
              </w:rPr>
              <w:t>达到国家级档案室标准</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社会效益</w:t>
            </w: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sz w:val="16"/>
                <w:szCs w:val="16"/>
                <w:u w:val="none"/>
                <w:lang w:val="en-US" w:eastAsia="zh-CN"/>
              </w:rPr>
              <w:t>达到国家级档案室标准</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sz w:val="16"/>
                <w:szCs w:val="16"/>
                <w:u w:val="none"/>
                <w:lang w:val="en-US" w:eastAsia="zh-CN"/>
              </w:rPr>
              <w:t>达到国家级档案室标准</w:t>
            </w:r>
            <w:r>
              <w:rPr>
                <w:rFonts w:hint="eastAsia" w:ascii="宋体" w:hAnsi="宋体" w:eastAsia="宋体" w:cs="宋体"/>
                <w:i w:val="0"/>
                <w:color w:val="333333"/>
                <w:kern w:val="0"/>
                <w:sz w:val="16"/>
                <w:szCs w:val="16"/>
                <w:u w:val="none"/>
                <w:lang w:val="en-US" w:eastAsia="zh-CN" w:bidi="ar"/>
              </w:rPr>
              <w:t>%</w:t>
            </w:r>
          </w:p>
        </w:tc>
      </w:tr>
      <w:tr>
        <w:tblPrEx>
          <w:tblCellMar>
            <w:top w:w="0" w:type="dxa"/>
            <w:left w:w="0" w:type="dxa"/>
            <w:bottom w:w="0" w:type="dxa"/>
            <w:right w:w="0" w:type="dxa"/>
          </w:tblCellMar>
        </w:tblPrEx>
        <w:trPr>
          <w:trHeight w:val="380" w:hRule="atLeast"/>
          <w:jc w:val="center"/>
        </w:trPr>
        <w:tc>
          <w:tcPr>
            <w:tcW w:w="974" w:type="dxa"/>
            <w:vMerge w:val="continue"/>
            <w:tcBorders>
              <w:top w:val="single" w:color="000000" w:sz="4" w:space="0"/>
              <w:left w:val="single" w:color="000000" w:sz="4" w:space="0"/>
              <w:bottom w:val="nil"/>
              <w:right w:val="single" w:color="000000" w:sz="4" w:space="0"/>
            </w:tcBorders>
            <w:shd w:val="clear" w:color="auto" w:fill="auto"/>
            <w:noWrap w:val="0"/>
            <w:tcMar>
              <w:top w:w="12" w:type="dxa"/>
              <w:left w:w="12" w:type="dxa"/>
              <w:right w:w="12" w:type="dxa"/>
            </w:tcMar>
            <w:textDirection w:val="tbRlV"/>
            <w:vAlign w:val="center"/>
          </w:tcPr>
          <w:p>
            <w:pPr>
              <w:rPr>
                <w:rFonts w:hint="eastAsia" w:ascii="宋体" w:hAnsi="宋体" w:eastAsia="宋体" w:cs="宋体"/>
                <w:i w:val="0"/>
                <w:color w:val="000000"/>
                <w:sz w:val="16"/>
                <w:szCs w:val="16"/>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textDirection w:val="tbRlV"/>
            <w:vAlign w:val="center"/>
          </w:tcPr>
          <w:p>
            <w:pPr>
              <w:rPr>
                <w:rFonts w:hint="eastAsia" w:ascii="宋体" w:hAnsi="宋体" w:eastAsia="宋体" w:cs="宋体"/>
                <w:i w:val="0"/>
                <w:color w:val="333333"/>
                <w:sz w:val="16"/>
                <w:szCs w:val="16"/>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rPr>
                <w:rFonts w:hint="eastAsia" w:ascii="宋体" w:hAnsi="宋体" w:eastAsia="宋体" w:cs="宋体"/>
                <w:i w:val="0"/>
                <w:color w:val="333333"/>
                <w:sz w:val="16"/>
                <w:szCs w:val="16"/>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sz w:val="16"/>
                <w:szCs w:val="16"/>
                <w:u w:val="none"/>
                <w:lang w:val="en-US" w:eastAsia="zh-CN"/>
              </w:rPr>
              <w:t>达到国家级档案室标准</w:t>
            </w: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sz w:val="16"/>
                <w:szCs w:val="16"/>
                <w:u w:val="none"/>
                <w:lang w:val="en-US" w:eastAsia="zh-CN"/>
              </w:rPr>
              <w:t>达到国家级档案室标准</w:t>
            </w: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rPr>
                <w:rFonts w:hint="eastAsia" w:ascii="宋体" w:hAnsi="宋体" w:eastAsia="宋体" w:cs="宋体"/>
                <w:i w:val="0"/>
                <w:color w:val="333333"/>
                <w:sz w:val="16"/>
                <w:szCs w:val="16"/>
                <w:u w:val="none"/>
              </w:rPr>
            </w:pP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sz w:val="16"/>
                <w:szCs w:val="16"/>
                <w:u w:val="none"/>
                <w:lang w:val="en-US" w:eastAsia="zh-CN"/>
              </w:rPr>
              <w:t>达到国家级档案室标准</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sz w:val="16"/>
                <w:szCs w:val="16"/>
                <w:u w:val="none"/>
                <w:lang w:val="en-US" w:eastAsia="zh-CN"/>
              </w:rPr>
              <w:t>达到国家级档案室标准</w:t>
            </w:r>
          </w:p>
        </w:tc>
      </w:tr>
      <w:tr>
        <w:tblPrEx>
          <w:tblCellMar>
            <w:top w:w="0" w:type="dxa"/>
            <w:left w:w="0" w:type="dxa"/>
            <w:bottom w:w="0" w:type="dxa"/>
            <w:right w:w="0" w:type="dxa"/>
          </w:tblCellMar>
        </w:tblPrEx>
        <w:trPr>
          <w:trHeight w:val="300" w:hRule="atLeast"/>
          <w:jc w:val="center"/>
        </w:trPr>
        <w:tc>
          <w:tcPr>
            <w:tcW w:w="974" w:type="dxa"/>
            <w:vMerge w:val="continue"/>
            <w:tcBorders>
              <w:top w:val="single" w:color="000000" w:sz="4" w:space="0"/>
              <w:left w:val="single" w:color="000000" w:sz="4" w:space="0"/>
              <w:bottom w:val="nil"/>
              <w:right w:val="single" w:color="000000" w:sz="4" w:space="0"/>
            </w:tcBorders>
            <w:shd w:val="clear" w:color="auto" w:fill="auto"/>
            <w:noWrap w:val="0"/>
            <w:tcMar>
              <w:top w:w="12" w:type="dxa"/>
              <w:left w:w="12" w:type="dxa"/>
              <w:right w:w="12" w:type="dxa"/>
            </w:tcMar>
            <w:textDirection w:val="tbRlV"/>
            <w:vAlign w:val="center"/>
          </w:tcPr>
          <w:p>
            <w:pPr>
              <w:rPr>
                <w:rFonts w:hint="eastAsia" w:ascii="宋体" w:hAnsi="宋体" w:eastAsia="宋体" w:cs="宋体"/>
                <w:i w:val="0"/>
                <w:color w:val="000000"/>
                <w:sz w:val="16"/>
                <w:szCs w:val="16"/>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textDirection w:val="tbRlV"/>
            <w:vAlign w:val="center"/>
          </w:tcPr>
          <w:p>
            <w:pPr>
              <w:rPr>
                <w:rFonts w:hint="eastAsia" w:ascii="宋体" w:hAnsi="宋体" w:eastAsia="宋体" w:cs="宋体"/>
                <w:i w:val="0"/>
                <w:color w:val="333333"/>
                <w:sz w:val="16"/>
                <w:szCs w:val="16"/>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可持续影响指标</w:t>
            </w:r>
          </w:p>
        </w:tc>
        <w:tc>
          <w:tcPr>
            <w:tcW w:w="29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使用者满意度</w:t>
            </w: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=100%</w:t>
            </w:r>
          </w:p>
        </w:tc>
        <w:tc>
          <w:tcPr>
            <w:tcW w:w="20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可持续影响指标</w:t>
            </w: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使用者满意度</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=100%</w:t>
            </w:r>
          </w:p>
        </w:tc>
      </w:tr>
      <w:tr>
        <w:tblPrEx>
          <w:tblCellMar>
            <w:top w:w="0" w:type="dxa"/>
            <w:left w:w="0" w:type="dxa"/>
            <w:bottom w:w="0" w:type="dxa"/>
            <w:right w:w="0" w:type="dxa"/>
          </w:tblCellMar>
        </w:tblPrEx>
        <w:trPr>
          <w:trHeight w:val="300" w:hRule="atLeast"/>
          <w:jc w:val="center"/>
        </w:trPr>
        <w:tc>
          <w:tcPr>
            <w:tcW w:w="974" w:type="dxa"/>
            <w:vMerge w:val="continue"/>
            <w:tcBorders>
              <w:top w:val="single" w:color="000000" w:sz="4" w:space="0"/>
              <w:left w:val="single" w:color="000000" w:sz="4" w:space="0"/>
              <w:bottom w:val="nil"/>
              <w:right w:val="single" w:color="000000" w:sz="4" w:space="0"/>
            </w:tcBorders>
            <w:shd w:val="clear" w:color="auto" w:fill="auto"/>
            <w:noWrap w:val="0"/>
            <w:tcMar>
              <w:top w:w="12" w:type="dxa"/>
              <w:left w:w="12" w:type="dxa"/>
              <w:right w:w="12" w:type="dxa"/>
            </w:tcMar>
            <w:textDirection w:val="tbRlV"/>
            <w:vAlign w:val="center"/>
          </w:tcPr>
          <w:p>
            <w:pPr>
              <w:rPr>
                <w:rFonts w:hint="eastAsia" w:ascii="宋体" w:hAnsi="宋体" w:eastAsia="宋体" w:cs="宋体"/>
                <w:i w:val="0"/>
                <w:color w:val="000000"/>
                <w:sz w:val="16"/>
                <w:szCs w:val="16"/>
                <w:u w:val="none"/>
              </w:rPr>
            </w:pPr>
          </w:p>
        </w:tc>
        <w:tc>
          <w:tcPr>
            <w:tcW w:w="109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textDirection w:val="tbRlV"/>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满意度指标</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服务对象满意度指标</w:t>
            </w:r>
          </w:p>
        </w:tc>
        <w:tc>
          <w:tcPr>
            <w:tcW w:w="29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档案管理机制健全性</w:t>
            </w: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健全</w:t>
            </w:r>
          </w:p>
        </w:tc>
        <w:tc>
          <w:tcPr>
            <w:tcW w:w="2055"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服务对象满意度指标</w:t>
            </w: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档案管理机制健全性</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健全</w:t>
            </w:r>
          </w:p>
        </w:tc>
      </w:tr>
      <w:tr>
        <w:tblPrEx>
          <w:tblCellMar>
            <w:top w:w="0" w:type="dxa"/>
            <w:left w:w="0" w:type="dxa"/>
            <w:bottom w:w="0" w:type="dxa"/>
            <w:right w:w="0" w:type="dxa"/>
          </w:tblCellMar>
        </w:tblPrEx>
        <w:trPr>
          <w:trHeight w:val="300" w:hRule="atLeast"/>
          <w:jc w:val="center"/>
        </w:trPr>
        <w:tc>
          <w:tcPr>
            <w:tcW w:w="974" w:type="dxa"/>
            <w:vMerge w:val="continue"/>
            <w:tcBorders>
              <w:top w:val="single" w:color="000000" w:sz="4" w:space="0"/>
              <w:left w:val="single" w:color="000000" w:sz="4" w:space="0"/>
              <w:bottom w:val="nil"/>
              <w:right w:val="single" w:color="000000" w:sz="4" w:space="0"/>
            </w:tcBorders>
            <w:shd w:val="clear" w:color="auto" w:fill="auto"/>
            <w:noWrap w:val="0"/>
            <w:tcMar>
              <w:top w:w="12" w:type="dxa"/>
              <w:left w:w="12" w:type="dxa"/>
              <w:right w:w="12" w:type="dxa"/>
            </w:tcMar>
            <w:textDirection w:val="tbRlV"/>
            <w:vAlign w:val="center"/>
          </w:tcPr>
          <w:p>
            <w:pPr>
              <w:rPr>
                <w:rFonts w:hint="eastAsia" w:ascii="宋体" w:hAnsi="宋体" w:eastAsia="宋体" w:cs="宋体"/>
                <w:i w:val="0"/>
                <w:color w:val="000000"/>
                <w:sz w:val="16"/>
                <w:szCs w:val="16"/>
                <w:u w:val="none"/>
              </w:rPr>
            </w:pPr>
          </w:p>
        </w:tc>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textDirection w:val="tbRlV"/>
            <w:vAlign w:val="center"/>
          </w:tcPr>
          <w:p>
            <w:pPr>
              <w:rPr>
                <w:rFonts w:hint="eastAsia" w:ascii="宋体" w:hAnsi="宋体" w:eastAsia="宋体" w:cs="宋体"/>
                <w:i w:val="0"/>
                <w:color w:val="333333"/>
                <w:sz w:val="16"/>
                <w:szCs w:val="16"/>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2" w:type="dxa"/>
              <w:left w:w="12" w:type="dxa"/>
              <w:right w:w="12" w:type="dxa"/>
            </w:tcMar>
            <w:vAlign w:val="center"/>
          </w:tcPr>
          <w:p>
            <w:pPr>
              <w:rPr>
                <w:rFonts w:hint="eastAsia" w:ascii="宋体" w:hAnsi="宋体" w:eastAsia="宋体" w:cs="宋体"/>
                <w:i w:val="0"/>
                <w:color w:val="333333"/>
                <w:sz w:val="16"/>
                <w:szCs w:val="16"/>
                <w:u w:val="none"/>
              </w:rPr>
            </w:pPr>
          </w:p>
        </w:tc>
        <w:tc>
          <w:tcPr>
            <w:tcW w:w="295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满意度</w:t>
            </w:r>
          </w:p>
        </w:tc>
        <w:tc>
          <w:tcPr>
            <w:tcW w:w="3059" w:type="dxa"/>
            <w:gridSpan w:val="2"/>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宋体" w:hAnsi="宋体" w:eastAsia="宋体" w:cs="宋体"/>
                <w:i w:val="0"/>
                <w:color w:val="333333"/>
                <w:sz w:val="16"/>
                <w:szCs w:val="16"/>
                <w:u w:val="none"/>
                <w:lang w:val="en-US"/>
              </w:rPr>
            </w:pPr>
            <w:r>
              <w:rPr>
                <w:rFonts w:hint="eastAsia" w:ascii="宋体" w:hAnsi="宋体" w:eastAsia="宋体" w:cs="宋体"/>
                <w:i w:val="0"/>
                <w:color w:val="333333"/>
                <w:kern w:val="0"/>
                <w:sz w:val="16"/>
                <w:szCs w:val="16"/>
                <w:u w:val="none"/>
                <w:lang w:val="en-US" w:eastAsia="zh-CN" w:bidi="ar"/>
              </w:rPr>
              <w:t>=100%</w:t>
            </w:r>
          </w:p>
        </w:tc>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rPr>
                <w:rFonts w:hint="eastAsia" w:ascii="宋体" w:hAnsi="宋体" w:eastAsia="宋体" w:cs="宋体"/>
                <w:i w:val="0"/>
                <w:color w:val="333333"/>
                <w:sz w:val="16"/>
                <w:szCs w:val="16"/>
                <w:u w:val="none"/>
              </w:rPr>
            </w:pPr>
          </w:p>
        </w:tc>
        <w:tc>
          <w:tcPr>
            <w:tcW w:w="2475"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满意度</w:t>
            </w:r>
          </w:p>
        </w:tc>
        <w:tc>
          <w:tcPr>
            <w:tcW w:w="696"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333333"/>
                <w:sz w:val="16"/>
                <w:szCs w:val="16"/>
                <w:u w:val="none"/>
              </w:rPr>
            </w:pPr>
            <w:r>
              <w:rPr>
                <w:rFonts w:hint="eastAsia" w:ascii="宋体" w:hAnsi="宋体" w:eastAsia="宋体" w:cs="宋体"/>
                <w:i w:val="0"/>
                <w:color w:val="333333"/>
                <w:kern w:val="0"/>
                <w:sz w:val="16"/>
                <w:szCs w:val="16"/>
                <w:u w:val="none"/>
                <w:lang w:val="en-US" w:eastAsia="zh-CN" w:bidi="ar"/>
              </w:rPr>
              <w:t>=100%</w:t>
            </w:r>
          </w:p>
        </w:tc>
      </w:tr>
    </w:tbl>
    <w:p>
      <w:pPr>
        <w:rPr>
          <w:rFonts w:hint="eastAsia" w:ascii="宋体" w:hAnsi="宋体" w:eastAsia="宋体" w:cs="宋体"/>
          <w:i w:val="0"/>
          <w:color w:val="000000"/>
          <w:sz w:val="16"/>
          <w:szCs w:val="16"/>
          <w:u w:val="none"/>
        </w:rPr>
        <w:sectPr>
          <w:pgSz w:w="16838" w:h="11906" w:orient="landscape"/>
          <w:pgMar w:top="1800" w:right="1440" w:bottom="1800" w:left="1440" w:header="851" w:footer="992" w:gutter="0"/>
          <w:pgNumType w:fmt="decimal" w:start="1"/>
          <w:cols w:space="425" w:num="1"/>
          <w:docGrid w:type="lines" w:linePitch="312" w:charSpace="0"/>
        </w:sectPr>
      </w:pP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outlineLvl w:val="1"/>
        <w:rPr>
          <w:rFonts w:ascii="宋体" w:hAnsi="宋体" w:eastAsia="宋体" w:cs="宋体"/>
          <w:sz w:val="24"/>
          <w:szCs w:val="24"/>
        </w:rPr>
      </w:pPr>
      <w:bookmarkStart w:id="21" w:name="_Toc7219"/>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outlineLvl w:val="1"/>
        <w:rPr>
          <w:rFonts w:ascii="宋体" w:hAnsi="宋体" w:eastAsia="宋体" w:cs="宋体"/>
          <w:sz w:val="24"/>
          <w:szCs w:val="24"/>
        </w:rPr>
      </w:pPr>
      <w:r>
        <w:rPr>
          <w:rFonts w:hint="eastAsia" w:ascii="宋体" w:hAnsi="宋体" w:eastAsia="宋体" w:cs="宋体"/>
          <w:sz w:val="24"/>
          <w:szCs w:val="24"/>
          <w:lang w:val="en-US" w:eastAsia="zh-CN"/>
        </w:rPr>
        <w:t>六、</w:t>
      </w:r>
      <w:r>
        <w:rPr>
          <w:rFonts w:ascii="宋体" w:hAnsi="宋体" w:eastAsia="宋体" w:cs="宋体"/>
          <w:sz w:val="24"/>
          <w:szCs w:val="24"/>
        </w:rPr>
        <w:t>国有资产占有使用情况</w:t>
      </w:r>
      <w:bookmarkEnd w:id="21"/>
      <w:r>
        <w:rPr>
          <w:rFonts w:ascii="宋体" w:hAnsi="宋体" w:eastAsia="宋体" w:cs="宋体"/>
          <w:sz w:val="24"/>
          <w:szCs w:val="24"/>
        </w:rPr>
        <w:t xml:space="preserve"> </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textAlignment w:val="auto"/>
        <w:rPr>
          <w:rFonts w:ascii="宋体" w:hAnsi="宋体" w:eastAsia="宋体" w:cs="宋体"/>
          <w:sz w:val="24"/>
          <w:szCs w:val="24"/>
        </w:rPr>
      </w:pPr>
      <w:r>
        <w:rPr>
          <w:rFonts w:ascii="宋体" w:hAnsi="宋体" w:eastAsia="宋体" w:cs="宋体"/>
          <w:sz w:val="24"/>
          <w:szCs w:val="24"/>
        </w:rPr>
        <w:t>车辆情况；我单位现有执法执勤</w:t>
      </w:r>
      <w:r>
        <w:rPr>
          <w:rFonts w:hint="eastAsia" w:ascii="宋体" w:hAnsi="宋体" w:eastAsia="宋体" w:cs="宋体"/>
          <w:sz w:val="24"/>
          <w:szCs w:val="24"/>
          <w:lang w:val="en-US" w:eastAsia="zh-CN"/>
        </w:rPr>
        <w:t>7</w:t>
      </w:r>
      <w:r>
        <w:rPr>
          <w:rFonts w:ascii="宋体" w:hAnsi="宋体" w:eastAsia="宋体" w:cs="宋体"/>
          <w:sz w:val="24"/>
          <w:szCs w:val="24"/>
        </w:rPr>
        <w:t xml:space="preserve">辆 </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ascii="宋体" w:hAnsi="宋体" w:eastAsia="宋体" w:cs="宋体"/>
          <w:sz w:val="24"/>
          <w:szCs w:val="24"/>
        </w:rPr>
      </w:pPr>
      <w:r>
        <w:rPr>
          <w:rFonts w:ascii="宋体" w:hAnsi="宋体" w:eastAsia="宋体" w:cs="宋体"/>
          <w:sz w:val="24"/>
          <w:szCs w:val="24"/>
        </w:rPr>
        <w:t xml:space="preserve">房屋情况；我单位现占地面积为4720平方米，其中 办公用房950平方米，业务用房3770平方米。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ascii="宋体" w:hAnsi="宋体" w:eastAsia="宋体" w:cs="宋体"/>
          <w:sz w:val="24"/>
          <w:szCs w:val="24"/>
        </w:rPr>
      </w:pPr>
      <w:r>
        <w:rPr>
          <w:rFonts w:ascii="宋体" w:hAnsi="宋体" w:eastAsia="宋体" w:cs="宋体"/>
          <w:sz w:val="24"/>
          <w:szCs w:val="24"/>
        </w:rPr>
        <w:t xml:space="preserve">3、其他国有资产占有使用情况。 我单位无其他国有资产占有情况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1"/>
        <w:rPr>
          <w:rFonts w:ascii="宋体" w:hAnsi="宋体" w:eastAsia="宋体" w:cs="宋体"/>
          <w:sz w:val="24"/>
          <w:szCs w:val="24"/>
        </w:rPr>
      </w:pPr>
      <w:bookmarkStart w:id="22" w:name="_Toc520"/>
      <w:r>
        <w:rPr>
          <w:rFonts w:ascii="宋体" w:hAnsi="宋体" w:eastAsia="宋体" w:cs="宋体"/>
          <w:sz w:val="24"/>
          <w:szCs w:val="24"/>
        </w:rPr>
        <w:t>七、其他说明</w:t>
      </w:r>
      <w:bookmarkEnd w:id="2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sz w:val="24"/>
          <w:szCs w:val="24"/>
          <w:lang w:eastAsia="zh-CN"/>
        </w:rPr>
      </w:pPr>
    </w:p>
    <w:p>
      <w:pPr>
        <w:numPr>
          <w:ilvl w:val="0"/>
          <w:numId w:val="0"/>
        </w:numPr>
        <w:ind w:left="120" w:leftChars="0"/>
        <w:jc w:val="center"/>
        <w:outlineLvl w:val="0"/>
        <w:rPr>
          <w:rFonts w:ascii="宋体" w:hAnsi="宋体" w:eastAsia="宋体" w:cs="宋体"/>
          <w:b/>
          <w:bCs/>
          <w:i w:val="0"/>
          <w:iCs w:val="0"/>
          <w:sz w:val="32"/>
          <w:szCs w:val="32"/>
        </w:rPr>
      </w:pPr>
      <w:bookmarkStart w:id="23" w:name="_Toc7969"/>
      <w:r>
        <w:rPr>
          <w:rFonts w:ascii="宋体" w:hAnsi="宋体" w:eastAsia="宋体" w:cs="宋体"/>
          <w:b/>
          <w:bCs/>
          <w:i w:val="0"/>
          <w:iCs w:val="0"/>
          <w:sz w:val="32"/>
          <w:szCs w:val="32"/>
        </w:rPr>
        <w:t>第四部分 名词解释</w:t>
      </w:r>
      <w:bookmarkEnd w:id="2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eastAsia="宋体" w:cs="宋体"/>
          <w:sz w:val="24"/>
          <w:szCs w:val="24"/>
        </w:rPr>
      </w:pPr>
      <w:r>
        <w:rPr>
          <w:rFonts w:ascii="宋体" w:hAnsi="宋体" w:eastAsia="宋体" w:cs="宋体"/>
          <w:sz w:val="24"/>
          <w:szCs w:val="24"/>
        </w:rPr>
        <w:t>一、基本支出：指为保障机构正常运转、完成日常 工作任务而发生的人员支出和公用支出。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eastAsia="宋体" w:cs="宋体"/>
          <w:sz w:val="24"/>
          <w:szCs w:val="24"/>
        </w:rPr>
      </w:pPr>
      <w:r>
        <w:rPr>
          <w:rFonts w:ascii="宋体" w:hAnsi="宋体" w:eastAsia="宋体" w:cs="宋体"/>
          <w:sz w:val="24"/>
          <w:szCs w:val="24"/>
        </w:rPr>
        <w:t xml:space="preserve"> 二、项目支出：指在基本支出之外为完成特定行政任 务和事业发展目标所发生的支出。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eastAsia="宋体" w:cs="宋体"/>
          <w:sz w:val="24"/>
          <w:szCs w:val="24"/>
        </w:rPr>
      </w:pPr>
      <w:r>
        <w:rPr>
          <w:rFonts w:ascii="宋体" w:hAnsi="宋体" w:eastAsia="宋体" w:cs="宋体"/>
          <w:sz w:val="24"/>
          <w:szCs w:val="24"/>
        </w:rPr>
        <w:t xml:space="preserve"> 三、“三公”经费：指省直部门用一般公共预算安排的 因公出国（境）费、公务用车购置及运行费和公务接待费。 其中，因公出国（境）费反映单位公务出国（境）的国际旅 费、国外城市间交通费、住宿费、伙食费、培训费、公杂费 等支出；公务用车购置费反映公务用车购置支出（含车辆购 置税、牌照费）；公务用车运行维护费反映单位按规定保留 的公务用车燃料费、维修费、过路过桥费、保险费、安全奖 励费用等支出；公务接待费反映单位按规定开支的各类公务 接待（含外宾接待）支出。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eastAsia="宋体" w:cs="宋体"/>
          <w:sz w:val="24"/>
          <w:szCs w:val="24"/>
        </w:rPr>
      </w:pPr>
      <w:r>
        <w:rPr>
          <w:rFonts w:ascii="宋体" w:hAnsi="宋体" w:eastAsia="宋体" w:cs="宋体"/>
          <w:sz w:val="24"/>
          <w:szCs w:val="24"/>
        </w:rPr>
        <w:t xml:space="preserve"> 四、机关运行经费：指行政单位和参照公务员法管理的 事业单位使用一般公共预算安排的基本支出中的日常公用 经费支出。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eastAsia="宋体" w:cs="宋体"/>
          <w:sz w:val="24"/>
          <w:szCs w:val="24"/>
        </w:rPr>
      </w:pPr>
      <w:r>
        <w:rPr>
          <w:rFonts w:ascii="宋体" w:hAnsi="宋体" w:eastAsia="宋体" w:cs="宋体"/>
          <w:sz w:val="24"/>
          <w:szCs w:val="24"/>
        </w:rPr>
        <w:t xml:space="preserve"> 五、政府购买服务：指政府按照一定的方式和程序，把 属于政府职责范围且适合通过市场化方</w:t>
      </w:r>
      <w:bookmarkStart w:id="24" w:name="_GoBack"/>
      <w:bookmarkEnd w:id="24"/>
      <w:r>
        <w:rPr>
          <w:rFonts w:ascii="宋体" w:hAnsi="宋体" w:eastAsia="宋体" w:cs="宋体"/>
          <w:sz w:val="24"/>
          <w:szCs w:val="24"/>
        </w:rPr>
        <w:t>式提供的服务事项， 交由符合条件的社会力量和事业单位承担，并根据服务数量 和质量等向其支付费用的行为。政府购买服务是一种契约化 的公共服务提供方式，具有权责清晰、结果导向、灵活高效 等特点。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eastAsia="宋体" w:cs="宋体"/>
          <w:sz w:val="24"/>
          <w:szCs w:val="24"/>
        </w:rPr>
      </w:pPr>
      <w:r>
        <w:rPr>
          <w:rFonts w:ascii="宋体" w:hAnsi="宋体" w:eastAsia="宋体" w:cs="宋体"/>
          <w:sz w:val="24"/>
          <w:szCs w:val="24"/>
        </w:rPr>
        <w:t xml:space="preserve"> 六、财政专户管理资金：专指教育收费，包括目前在财 政专户管理的高中以上学费、住宿费，高校委托培养费，党 校收费，教育考试考务费，函大、电大、夜大及短训班培训 费等。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pPr>
      <w:r>
        <w:rPr>
          <w:rFonts w:ascii="宋体" w:hAnsi="宋体" w:eastAsia="宋体" w:cs="宋体"/>
          <w:sz w:val="24"/>
          <w:szCs w:val="24"/>
        </w:rPr>
        <w:t xml:space="preserve"> 七、单位资金：指除政府预算资金（一般公共预算、政 府性基金预算）和财政专户管理资金以外的资金。</w:t>
      </w: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56149A"/>
    <w:multiLevelType w:val="singleLevel"/>
    <w:tmpl w:val="F256149A"/>
    <w:lvl w:ilvl="0" w:tentative="0">
      <w:start w:val="1"/>
      <w:numFmt w:val="chineseCounting"/>
      <w:suff w:val="nothing"/>
      <w:lvlText w:val="%1、"/>
      <w:lvlJc w:val="left"/>
      <w:rPr>
        <w:rFonts w:hint="eastAsia"/>
      </w:rPr>
    </w:lvl>
  </w:abstractNum>
  <w:abstractNum w:abstractNumId="1">
    <w:nsid w:val="63252141"/>
    <w:multiLevelType w:val="singleLevel"/>
    <w:tmpl w:val="63252141"/>
    <w:lvl w:ilvl="0" w:tentative="0">
      <w:start w:val="1"/>
      <w:numFmt w:val="chineseCounting"/>
      <w:suff w:val="nothing"/>
      <w:lvlText w:val="%1、"/>
      <w:lvlJc w:val="left"/>
      <w:pPr>
        <w:ind w:left="240" w:leftChars="0" w:firstLine="0" w:firstLineChars="0"/>
      </w:pPr>
      <w:rPr>
        <w:rFonts w:hint="eastAsia"/>
      </w:rPr>
    </w:lvl>
  </w:abstractNum>
  <w:abstractNum w:abstractNumId="2">
    <w:nsid w:val="65429E44"/>
    <w:multiLevelType w:val="singleLevel"/>
    <w:tmpl w:val="65429E44"/>
    <w:lvl w:ilvl="0" w:tentative="0">
      <w:start w:val="1"/>
      <w:numFmt w:val="decimal"/>
      <w:suff w:val="nothing"/>
      <w:lvlText w:val="%1、"/>
      <w:lvlJc w:val="left"/>
    </w:lvl>
  </w:abstractNum>
  <w:abstractNum w:abstractNumId="3">
    <w:nsid w:val="7AD9EA8F"/>
    <w:multiLevelType w:val="singleLevel"/>
    <w:tmpl w:val="7AD9EA8F"/>
    <w:lvl w:ilvl="0" w:tentative="0">
      <w:start w:val="1"/>
      <w:numFmt w:val="chineseCounting"/>
      <w:suff w:val="space"/>
      <w:lvlText w:val="第%1部分"/>
      <w:lvlJc w:val="left"/>
      <w:pPr>
        <w:ind w:left="120" w:leftChars="0" w:firstLine="0" w:firstLineChars="0"/>
      </w:pPr>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ODM0YmMxOWJiYWQyNDU4MGIzYWRmYTA0ZmI5NDcifQ=="/>
  </w:docVars>
  <w:rsids>
    <w:rsidRoot w:val="2658765B"/>
    <w:rsid w:val="19622F5E"/>
    <w:rsid w:val="2658765B"/>
    <w:rsid w:val="400471BE"/>
    <w:rsid w:val="4E7D3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style>
  <w:style w:type="paragraph" w:styleId="5">
    <w:name w:val="toc 2"/>
    <w:basedOn w:val="1"/>
    <w:next w:val="1"/>
    <w:qFormat/>
    <w:uiPriority w:val="0"/>
    <w:pPr>
      <w:ind w:left="420" w:leftChars="200"/>
    </w:pPr>
  </w:style>
  <w:style w:type="paragraph" w:customStyle="1" w:styleId="8">
    <w:name w:val="WPSOffice手动目录 1"/>
    <w:qFormat/>
    <w:uiPriority w:val="0"/>
    <w:pPr>
      <w:ind w:leftChars="0"/>
    </w:pPr>
    <w:rPr>
      <w:rFonts w:ascii="Times New Roman" w:hAnsi="Times New Roman" w:eastAsia="宋体" w:cs="Times New Roman"/>
      <w:sz w:val="20"/>
      <w:szCs w:val="20"/>
    </w:rPr>
  </w:style>
  <w:style w:type="paragraph" w:customStyle="1" w:styleId="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3632</Words>
  <Characters>4374</Characters>
  <Lines>0</Lines>
  <Paragraphs>0</Paragraphs>
  <TotalTime>2</TotalTime>
  <ScaleCrop>false</ScaleCrop>
  <LinksUpToDate>false</LinksUpToDate>
  <CharactersWithSpaces>4791</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2022-08-25T06:08:00Z</dcterms:created>
  <dc:creator>蒋燕燕</dc:creator>
  <cp:lastModifiedBy>蒋燕燕</cp:lastModifiedBy>
  <dcterms:modified xsi:type="dcterms:W3CDTF">2022-09-05T12:29:25Z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15A387CFC620442FBC1442B680BFA394</vt:lpwstr>
  </property>
</Properties>
</file>